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40"/>
        <w:jc w:val="center"/>
      </w:pPr>
      <w:r>
        <w:rPr>
          <w:rFonts w:ascii="Yu Gothic" w:cs="Yu Gothic" w:eastAsia="Yu Gothic" w:hAnsi="Yu Gothic"/>
          <w:b/>
          <w:bCs/>
          <w:sz w:val="28"/>
          <w:szCs w:val="28"/>
        </w:rPr>
        <w:t xml:space="preserve">サンプル暗号資産交換 新会計システム</w:t>
      </w:r>
    </w:p>
    <w:p>
      <w:pPr>
        <w:spacing w:after="20"/>
        <w:jc w:val="center"/>
      </w:pPr>
      <w:r>
        <w:rPr>
          <w:rFonts w:ascii="Yu Gothic" w:cs="Yu Gothic" w:eastAsia="Yu Gothic" w:hAnsi="Yu Gothic"/>
          <w:sz w:val="20"/>
          <w:szCs w:val="20"/>
        </w:rPr>
        <w:t xml:space="preserve">UAT会計検証パッケージ</w:t>
      </w:r>
    </w:p>
    <w:p>
      <w:pPr>
        <w:spacing w:after="160"/>
        <w:jc w:val="center"/>
      </w:pPr>
      <w:r>
        <w:rPr>
          <w:rFonts w:ascii="Yu Gothic" w:cs="Yu Gothic" w:eastAsia="Yu Gothic" w:hAnsi="Yu Gothic"/>
          <w:color w:val="8A8170"/>
          <w:sz w:val="15"/>
          <w:szCs w:val="15"/>
        </w:rPr>
        <w:t xml:space="preserve">AI生成ドラフト・会計士レビュー前提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作成者</w:t>
            </w:r>
          </w:p>
        </w:tc>
        <w:tc>
          <w:tcPr>
            <w:tcW w:type="pct" w:w="3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pct" w:w="1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査閲者</w:t>
            </w:r>
          </w:p>
        </w:tc>
        <w:tc>
          <w:tcPr>
            <w:tcW w:type="pct" w:w="3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1. 概要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</w:tblGrid>
      <w:tr>
        <w:tc>
          <w:tcPr>
            <w:tcW w:type="pct" w:w="1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目的</w:t>
            </w:r>
          </w:p>
        </w:tc>
        <w:tc>
          <w:tcPr>
            <w:tcW w:type="pct" w:w="8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新会計システムが暗号資産交換業特有の会計処理（自己保有時価評価・利用者預り両建・手数料純額認識・分別管理照合）を実務対応報告第38号および資金決済法に準拠して正確に処理することを、想定仕訳との突合により検証する。</w:t>
            </w:r>
          </w:p>
        </w:tc>
      </w:tr>
      <w:tr>
        <w:tc>
          <w:tcPr>
            <w:tcW w:type="pct" w:w="1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範囲</w:t>
            </w:r>
          </w:p>
        </w:tc>
        <w:tc>
          <w:tcPr>
            <w:tcW w:type="pct" w:w="8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2026年3月期の本番移行を前提に、収益認識（媒介・取次手数料、スプレッド、マイニング報酬、送金手数料）、自己保有暗号資産の期末時価評価、利用者預り暗号資産の負債両建、三層残高照合、KYC/AML統制連携、ITGC（暗号鍵管理・アクセス権・変更管理）を対象とする。利用者個人情報保護のシステム機能はスコープ外。</w:t>
            </w:r>
          </w:p>
        </w:tc>
      </w:tr>
      <w:tr>
        <w:tc>
          <w:tcPr>
            <w:tcW w:type="pct" w:w="1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進め方</w:t>
            </w:r>
          </w:p>
        </w:tc>
        <w:tc>
          <w:tcPr>
            <w:tcW w:type="pct" w:w="8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想定仕訳（テストケース）を準備し、新システム出力仕訳・残高と突合。差異は原因分析し是正案を提示。基準準拠性とITGC/ITAC（自動仕訳生成・時価取込インターフェース・分別管理照合バッチ）の有効性を評価する会計士レビュー前提のドラフト。</w:t>
            </w:r>
          </w:p>
        </w:tc>
      </w:tr>
      <w:tr>
        <w:tc>
          <w:tcPr>
            <w:tcW w:type="pct" w:w="1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基準</w:t>
            </w:r>
          </w:p>
        </w:tc>
        <w:tc>
          <w:tcPr>
            <w:tcW w:type="pct" w:w="8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実務対応報告第38号（資金決済法上の暗号資産の会計処理）、資金決済法第63条の8～17（分別管理・財務諸表監査・分別管理監査）、犯罪収益移転防止法（KYC・疑わしい取引届出・7年保存）、企業会計原則、システム管理基準（ITGC）</w:t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2. テストケース・想定仕訳</w:t>
      </w:r>
    </w:p>
    <w:p>
      <w:pPr>
        <w:pStyle w:val="Heading2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収益認識（媒介・取次手数料）</w:t>
      </w:r>
    </w:p>
    <w:p>
      <w:pPr>
        <w:pStyle w:val="Heading3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TC-01　利用者間のBTC売買が取引所内マッチングで約定。約定時点で媒介手数料を純額認識。（収益認識（媒介・取次手数料）・OK）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テストデータ：約定金額 10,000,000円、媒介手数料率 0.10%（10,000円）、約定日 2026/3/10、マッチング完了フラグON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確認観点：約定（マッチング完了）時点での認識か、純額表示か、売買代金総額が損益計上されていないか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想定仕訳：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借方科目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貸方科目</w:t>
            </w:r>
          </w:p>
        </w:tc>
        <w:tc>
          <w:tcPr>
            <w:tcW w:type="pct" w:w="16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金額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摘要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預り金（手数料控除分）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受取手数料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10,000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約定時点で純額（手数料のみ）認識。売買代金本体は損益計上しない</w:t>
            </w:r>
          </w:p>
        </w:tc>
      </w:tr>
    </w:tbl>
    <w:p>
      <w:pPr>
        <w:pStyle w:val="Heading2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収益認識（マーケットメイク・スプレッド）</w:t>
      </w:r>
    </w:p>
    <w:p>
      <w:pPr>
        <w:pStyle w:val="Heading3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TC-02　自己勘定でのマーケットメイク取引。買気配と売気配のスプレッド益を約定同時点で認識。（収益認識（マーケットメイク・スプレッド）・OK）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テストデータ：ETH売却 約定額 5,020,000円、取得原価相当 5,000,000円、スプレッド益 20,000円、約定日 2026/3/12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確認観点：スプレッドが手数料収入ではなく売却損益で認識されているか、認識時点が約定時か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想定仕訳：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借方科目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貸方科目</w:t>
            </w:r>
          </w:p>
        </w:tc>
        <w:tc>
          <w:tcPr>
            <w:tcW w:type="pct" w:w="16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金額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摘要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現金預金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暗号資産（自己保有）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5,000,000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払出は移動平均/個別原価で簿価消去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現金預金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暗号資産売却損益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20,000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スプレッド益を約定時点で認識</w:t>
            </w:r>
          </w:p>
        </w:tc>
      </w:tr>
    </w:tbl>
    <w:p>
      <w:pPr>
        <w:pStyle w:val="Heading2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自己保有・期末時価評価（活発市場あり）</w:t>
      </w:r>
    </w:p>
    <w:p>
      <w:pPr>
        <w:pStyle w:val="Heading3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TC-03　期末日に自己保有BTCを活発な市場の公正な評価額で時価評価。（自己保有・期末時価評価（活発市場あり）・OK）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テストデータ：自己保有BTC簿価 80,000,000円、期末公正評価額（基準取引所価格）90,000,000円、評価日 2026/3/31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確認観点：公正な評価額の算定根拠（基準価格選定・複数取引所優先順位）が文書化され検証可能か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想定仕訳：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借方科目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貸方科目</w:t>
            </w:r>
          </w:p>
        </w:tc>
        <w:tc>
          <w:tcPr>
            <w:tcW w:type="pct" w:w="16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金額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摘要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暗号資産（自己保有）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暗号資産評価損益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10,000,000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実対38号：活発な市場が存在する場合は時価評価し評価差額を当期損益</w:t>
            </w:r>
          </w:p>
        </w:tc>
      </w:tr>
    </w:tbl>
    <w:p>
      <w:pPr>
        <w:pStyle w:val="Heading2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自己保有・期末時価評価（活発市場なし）</w:t>
      </w:r>
    </w:p>
    <w:p>
      <w:pPr>
        <w:pStyle w:val="Heading3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TC-04　流動性の低いアルトコインを取得原価で評価し、処分見込価額が下回る場合は簿価切下げ。（自己保有・期末時価評価（活発市場なし）・差異）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テストデータ：自己保有XYZ簿価 3,000,000円、活発市場なし、処分見込価額 2,400,000円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確認観点：活発市場の有無判定基準が一貫適用され、切下げ判定が機能しているか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想定仕訳：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借方科目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貸方科目</w:t>
            </w:r>
          </w:p>
        </w:tc>
        <w:tc>
          <w:tcPr>
            <w:tcW w:type="pct" w:w="16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金額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摘要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暗号資産評価損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暗号資産（自己保有）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600,000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活発市場なしは取得原価。処分見込価額が原価未満時は切下げ</w:t>
            </w:r>
          </w:p>
        </w:tc>
      </w:tr>
    </w:tbl>
    <w:p>
      <w:pPr>
        <w:pStyle w:val="Heading2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利用者預り（両建処理）</w:t>
      </w:r>
    </w:p>
    <w:p>
      <w:pPr>
        <w:pStyle w:val="Heading3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TC-05　利用者からのBTC入金。資産（預り暗号資産）と負債（利用者預り）を両建計上。市場価格変動は損益に影響させない。（利用者預り（両建処理）・OK）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テストデータ：利用者入金BTC 数量2.0、入金時時価 18,000,000円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確認観点：資産・負債が同額両建されているか、期末再評価で資産・負債が同額更新され損益に影響しないか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想定仕訳：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借方科目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貸方科目</w:t>
            </w:r>
          </w:p>
        </w:tc>
        <w:tc>
          <w:tcPr>
            <w:tcW w:type="pct" w:w="16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金額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摘要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預り暗号資産（資産）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暗号資産預り金（負債）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18,000,000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実対38号：利用者預り暗号資産は資産・負債両建。同額計上</w:t>
            </w:r>
          </w:p>
        </w:tc>
      </w:tr>
    </w:tbl>
    <w:p>
      <w:pPr>
        <w:pStyle w:val="Heading2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利用者預り（期末再評価）</w:t>
      </w:r>
    </w:p>
    <w:p>
      <w:pPr>
        <w:pStyle w:val="Heading3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TC-06　期末に利用者預りBTCを時価で再評価。資産と負債を同額更新し損益ゼロ。（利用者預り（期末再評価）・OK）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テストデータ：預り暗号資産簿価 18,000,000円、期末時価 20,000,000円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確認観点：資産・負債の増減が常に同額で純損益に流入しないか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想定仕訳：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借方科目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貸方科目</w:t>
            </w:r>
          </w:p>
        </w:tc>
        <w:tc>
          <w:tcPr>
            <w:tcW w:type="pct" w:w="16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金額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摘要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預り暗号資産（資産）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暗号資産預り金（負債）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2,000,000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資産・負債同額更新。純損益影響なし</w:t>
            </w:r>
          </w:p>
        </w:tc>
      </w:tr>
    </w:tbl>
    <w:p>
      <w:pPr>
        <w:pStyle w:val="Heading2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収益認識（マイニング報酬）</w:t>
      </w:r>
    </w:p>
    <w:p>
      <w:pPr>
        <w:pStyle w:val="Heading3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TC-07　マイニング報酬を実現可能性が高まった時点（報酬確定・受領可能化）で認識。（収益認識（マイニング報酬）・未検証）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テストデータ：マイニング報酬 数量0.5BTC、確定時時価 4,500,000円、確定日 2026/3/20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確認観点：認識時点が報酬確定時か、消費電力等のコストが適切に対応費用計上されているか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想定仕訳：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借方科目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貸方科目</w:t>
            </w:r>
          </w:p>
        </w:tc>
        <w:tc>
          <w:tcPr>
            <w:tcW w:type="pct" w:w="16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金額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摘要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暗号資産（自己保有）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マイニング報酬収益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4,500,000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実現可能性が高まった時点で確定時時価により認識</w:t>
            </w:r>
          </w:p>
        </w:tc>
      </w:tr>
    </w:tbl>
    <w:p>
      <w:pPr>
        <w:pStyle w:val="Heading2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収益認識（送金手数料）</w:t>
      </w:r>
    </w:p>
    <w:p>
      <w:pPr>
        <w:pStyle w:val="Heading3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TC-08　利用者の外部送金（出庫）に伴う送金手数料を役務提供完了時に認識。（収益認識（送金手数料）・OK）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テストデータ：送金手数料 3,000円、送金完了日 2026/3/15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確認観点：ブロックチェーン送金確定（confirmations充足）をトリガにしているか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想定仕訳：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借方科目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貸方科目</w:t>
            </w:r>
          </w:p>
        </w:tc>
        <w:tc>
          <w:tcPr>
            <w:tcW w:type="pct" w:w="16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金額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摘要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暗号資産預り金（負債）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受取手数料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3,000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送金完了（役務提供完了）時点で認識</w:t>
            </w:r>
          </w:p>
        </w:tc>
      </w:tr>
    </w:tbl>
    <w:p>
      <w:pPr>
        <w:pStyle w:val="Heading2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分別管理・誤計上検知</w:t>
      </w:r>
    </w:p>
    <w:p>
      <w:pPr>
        <w:pStyle w:val="Heading3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TC-09　自己保有アドレスと利用者預りアドレスの混同入力を検知。（分別管理・誤計上検知・差異）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テストデータ：利用者預りBTCを誤って自己保有勘定に計上する取引投入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確認観点：分別管理の自動バリデーション（アドレス種別→勘定）が機能し誤計上をブロックするか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想定仕訳：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借方科目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貸方科目</w:t>
            </w:r>
          </w:p>
        </w:tc>
        <w:tc>
          <w:tcPr>
            <w:tcW w:type="pct" w:w="16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金額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摘要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（計上不可・エラー）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（計上不可・エラー）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アドレス種別マスタと勘定マッピングの整合チェックで弾く想定</w:t>
            </w:r>
          </w:p>
        </w:tc>
      </w:tr>
    </w:tbl>
    <w:p>
      <w:pPr>
        <w:pStyle w:val="Heading2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売却損益（移動平均原価）</w:t>
      </w:r>
    </w:p>
    <w:p>
      <w:pPr>
        <w:pStyle w:val="Heading3"/>
        <w:spacing w:after="50" w:before="200"/>
      </w:pPr>
      <w:r>
        <w:rPr>
          <w:rFonts w:ascii="Yu Gothic" w:cs="Yu Gothic" w:eastAsia="Yu Gothic" w:hAnsi="Yu Gothic"/>
          <w:b/>
          <w:bCs/>
        </w:rPr>
        <w:t xml:space="preserve">TC-10　複数回取得した自己保有ETHの一部売却で移動平均原価が正しく適用されるか。（売却損益（移動平均原価）・OK）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テストデータ：取得①1.0ETH@300,000、取得②1.0ETH@340,000、売却1.0ETH@360,000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確認観点：原価配分方法（移動平均/総平均）が社内規程と一致し一貫適用されているか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想定仕訳：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借方科目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貸方科目</w:t>
            </w:r>
          </w:p>
        </w:tc>
        <w:tc>
          <w:tcPr>
            <w:tcW w:type="pct" w:w="16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金額</w:t>
            </w:r>
          </w:p>
        </w:tc>
        <w:tc>
          <w:tcPr>
            <w:tcW w:type="pct" w:w="2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摘要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現金預金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暗号資産（自己保有）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320,000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移動平均単価320,000で簿価消去</w:t>
            </w:r>
          </w:p>
        </w:tc>
      </w:tr>
      <w:tr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現金預金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暗号資産売却損益</w:t>
            </w:r>
          </w:p>
        </w:tc>
        <w:tc>
          <w:tcPr>
            <w:tcW w:type="pct" w:w="16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pPr>
              <w:jc w:val="right"/>
            </w:pPr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40,000</w:t>
            </w:r>
          </w:p>
        </w:tc>
        <w:tc>
          <w:tcPr>
            <w:tcW w:type="pct" w:w="2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売却益 360,000-320,000</w:t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3. 突合チェック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7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ID</w:t>
            </w:r>
          </w:p>
        </w:tc>
        <w:tc>
          <w:tcPr>
            <w:tcW w:type="pct" w:w="24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突合</w:t>
            </w:r>
          </w:p>
        </w:tc>
        <w:tc>
          <w:tcPr>
            <w:tcW w:type="pct" w:w="1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突合元</w:t>
            </w:r>
          </w:p>
        </w:tc>
        <w:tc>
          <w:tcPr>
            <w:tcW w:type="pct" w:w="1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突合先</w:t>
            </w:r>
          </w:p>
        </w:tc>
        <w:tc>
          <w:tcPr>
            <w:tcW w:type="pct" w:w="21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方法</w:t>
            </w:r>
          </w:p>
        </w:tc>
        <w:tc>
          <w:tcPr>
            <w:tcW w:type="pct" w:w="12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結果</w:t>
            </w:r>
          </w:p>
        </w:tc>
      </w:tr>
      <w:tr>
        <w:tc>
          <w:tcPr>
            <w:tcW w:type="pct" w:w="7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REC-01</w:t>
            </w:r>
          </w:p>
        </w:tc>
        <w:tc>
          <w:tcPr>
            <w:tcW w:type="pct" w:w="24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三層照合（ブロックチェーン⇔取引所台帳）</w:t>
            </w:r>
          </w:p>
        </w:tc>
        <w:tc>
          <w:tcPr>
            <w:tcW w:type="pct" w:w="1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オンチェーン残高（ウォレット/アドレス別、ノード照会）</w:t>
            </w:r>
          </w:p>
        </w:tc>
        <w:tc>
          <w:tcPr>
            <w:tcW w:type="pct" w:w="1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取引所内部台帳残高（暗号資産種類別）</w:t>
            </w:r>
          </w:p>
        </w:tc>
        <w:tc>
          <w:tcPr>
            <w:tcW w:type="pct" w:w="21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日次バッチでアドレス別・通貨別に数量突合。マルチシグ管理アドレス含め全アドレス網羅（許容差異 数量差異ゼロ（端数も不可））</w:t>
            </w:r>
          </w:p>
        </w:tc>
        <w:tc>
          <w:tcPr>
            <w:tcW w:type="pct" w:w="1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一致</w:t>
            </w:r>
          </w:p>
        </w:tc>
      </w:tr>
      <w:tr>
        <w:tc>
          <w:tcPr>
            <w:tcW w:type="pct" w:w="7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REC-02</w:t>
            </w:r>
          </w:p>
        </w:tc>
        <w:tc>
          <w:tcPr>
            <w:tcW w:type="pct" w:w="24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三層照合（取引所台帳⇔会計仕訳）</w:t>
            </w:r>
          </w:p>
        </w:tc>
        <w:tc>
          <w:tcPr>
            <w:tcW w:type="pct" w:w="1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取引所内部台帳（自己保有・利用者預り別残高）</w:t>
            </w:r>
          </w:p>
        </w:tc>
        <w:tc>
          <w:tcPr>
            <w:tcW w:type="pct" w:w="1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会計システム勘定残高（暗号資産/預り暗号資産/暗号資産預り金）</w:t>
            </w:r>
          </w:p>
        </w:tc>
        <w:tc>
          <w:tcPr>
            <w:tcW w:type="pct" w:w="21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期末日残高を勘定別・通貨別に金額突合。時価換算レートの整合も確認（許容差異 金額差異 ±1円（換算端数のみ許容））</w:t>
            </w:r>
          </w:p>
        </w:tc>
        <w:tc>
          <w:tcPr>
            <w:tcW w:type="pct" w:w="1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差異あり</w:t>
            </w:r>
          </w:p>
        </w:tc>
      </w:tr>
      <w:tr>
        <w:tc>
          <w:tcPr>
            <w:tcW w:type="pct" w:w="7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REC-03</w:t>
            </w:r>
          </w:p>
        </w:tc>
        <w:tc>
          <w:tcPr>
            <w:tcW w:type="pct" w:w="24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利用者預り資産・負債同額照合</w:t>
            </w:r>
          </w:p>
        </w:tc>
        <w:tc>
          <w:tcPr>
            <w:tcW w:type="pct" w:w="1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預り暗号資産（資産）残高</w:t>
            </w:r>
          </w:p>
        </w:tc>
        <w:tc>
          <w:tcPr>
            <w:tcW w:type="pct" w:w="1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暗号資産預り金（負債）残高</w:t>
            </w:r>
          </w:p>
        </w:tc>
        <w:tc>
          <w:tcPr>
            <w:tcW w:type="pct" w:w="21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通貨別に資産・負債残高を突合し純額ゼロを確認（許容差異 差異ゼロ）</w:t>
            </w:r>
          </w:p>
        </w:tc>
        <w:tc>
          <w:tcPr>
            <w:tcW w:type="pct" w:w="1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一致</w:t>
            </w:r>
          </w:p>
        </w:tc>
      </w:tr>
      <w:tr>
        <w:tc>
          <w:tcPr>
            <w:tcW w:type="pct" w:w="7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REC-04</w:t>
            </w:r>
          </w:p>
        </w:tc>
        <w:tc>
          <w:tcPr>
            <w:tcW w:type="pct" w:w="24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分別管理監査用残高照合</w:t>
            </w:r>
          </w:p>
        </w:tc>
        <w:tc>
          <w:tcPr>
            <w:tcW w:type="pct" w:w="1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利用者預り資産（金銭の信託残高＋暗号資産残高）</w:t>
            </w:r>
          </w:p>
        </w:tc>
        <w:tc>
          <w:tcPr>
            <w:tcW w:type="pct" w:w="1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利用者債務残高（顧客別合算）</w:t>
            </w:r>
          </w:p>
        </w:tc>
        <w:tc>
          <w:tcPr>
            <w:tcW w:type="pct" w:w="21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資金決済法第63条の11準拠で顧客資産が債務以上であることを照合（許容差異 資産≧負債（不足ゼロ））</w:t>
            </w:r>
          </w:p>
        </w:tc>
        <w:tc>
          <w:tcPr>
            <w:tcW w:type="pct" w:w="1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一致</w:t>
            </w:r>
          </w:p>
        </w:tc>
      </w:tr>
      <w:tr>
        <w:tc>
          <w:tcPr>
            <w:tcW w:type="pct" w:w="7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REC-05</w:t>
            </w:r>
          </w:p>
        </w:tc>
        <w:tc>
          <w:tcPr>
            <w:tcW w:type="pct" w:w="24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手数料収入照合（売買約定⇔収益計上）</w:t>
            </w:r>
          </w:p>
        </w:tc>
        <w:tc>
          <w:tcPr>
            <w:tcW w:type="pct" w:w="1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約定データ（マッチングエンジン手数料明細）</w:t>
            </w:r>
          </w:p>
        </w:tc>
        <w:tc>
          <w:tcPr>
            <w:tcW w:type="pct" w:w="1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会計受取手数料計上額</w:t>
            </w:r>
          </w:p>
        </w:tc>
        <w:tc>
          <w:tcPr>
            <w:tcW w:type="pct" w:w="21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約定別手数料の合計と仕訳計上額を期間突合（許容差異 ±0.5%（タイミング差））</w:t>
            </w:r>
          </w:p>
        </w:tc>
        <w:tc>
          <w:tcPr>
            <w:tcW w:type="pct" w:w="1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差異あり</w:t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4. 差異・例外と是正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ID</w:t>
            </w:r>
          </w:p>
        </w:tc>
        <w:tc>
          <w:tcPr>
            <w:tcW w:type="pct" w:w="32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差異・例外</w:t>
            </w:r>
          </w:p>
        </w:tc>
        <w:tc>
          <w:tcPr>
            <w:tcW w:type="pct" w:w="10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重要度</w:t>
            </w:r>
          </w:p>
        </w:tc>
        <w:tc>
          <w:tcPr>
            <w:tcW w:type="pct" w:w="25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原因</w:t>
            </w:r>
          </w:p>
        </w:tc>
        <w:tc>
          <w:tcPr>
            <w:tcW w:type="pct" w:w="25%"/>
            <w:shd w:fill="ECE4D2" w:color="auto" w:val="clear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3"/>
                <w:szCs w:val="13"/>
              </w:rPr>
              <w:t xml:space="preserve">是正</w:t>
            </w:r>
          </w:p>
        </w:tc>
      </w:tr>
      <w:tr>
        <w:tc>
          <w:tcPr>
            <w:tcW w:type="pct" w:w="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EX-01</w:t>
            </w:r>
          </w:p>
        </w:tc>
        <w:tc>
          <w:tcPr>
            <w:tcW w:type="pct" w:w="3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活発市場のないアルトコインXYZについて、処分見込価額の取込が手動で、内部台帳の評価更新と会計仕訳の評価切下げにタイミング差・金額差が発生。</w:t>
            </w:r>
          </w:p>
        </w:tc>
        <w:tc>
          <w:tcPr>
            <w:tcW w:type="pct" w:w="10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高</w:t>
            </w:r>
          </w:p>
        </w:tc>
        <w:tc>
          <w:tcPr>
            <w:tcW w:type="pct" w:w="25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活発市場の有無判定ロジックと処分見込価額のインターフェースが自動化されておらず手動入力。判定基準の社内規程も未整備で一貫性を欠く。</w:t>
            </w:r>
          </w:p>
        </w:tc>
        <w:tc>
          <w:tcPr>
            <w:tcW w:type="pct" w:w="25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活発市場有無判定基準を社内規程化しシステムに実装。処分見込価額の取込を自動インターフェース化し、評価切下げ仕訳を内部台帳と同一データソースで生成。期末評価プロセスを文書化。</w:t>
            </w:r>
          </w:p>
        </w:tc>
      </w:tr>
      <w:tr>
        <w:tc>
          <w:tcPr>
            <w:tcW w:type="pct" w:w="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EX-02</w:t>
            </w:r>
          </w:p>
        </w:tc>
        <w:tc>
          <w:tcPr>
            <w:tcW w:type="pct" w:w="3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期末日深夜の約定に係る手数料収入が、カットオフ処理の境界をまたいで翌期計上され、収益認識時点（約定時点）とズレが生じる。</w:t>
            </w:r>
          </w:p>
        </w:tc>
        <w:tc>
          <w:tcPr>
            <w:tcW w:type="pct" w:w="10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中</w:t>
            </w:r>
          </w:p>
        </w:tc>
        <w:tc>
          <w:tcPr>
            <w:tcW w:type="pct" w:w="25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会計日付の確定がシステム時刻基準（UTC/JSTの境界）であり、約定時点（マッチング完了タイムスタンプ）と一致していない。カットオフ統制が不十分。</w:t>
            </w:r>
          </w:p>
        </w:tc>
        <w:tc>
          <w:tcPr>
            <w:tcW w:type="pct" w:w="25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会計計上日を約定タイムスタンプ（取引所タイムゾーン基準）に統一。期末カットオフのバッチ実行時刻とタイムゾーン換算を明確化し、境界取引の自動仕分けルールを実装。</w:t>
            </w:r>
          </w:p>
        </w:tc>
      </w:tr>
      <w:tr>
        <w:tc>
          <w:tcPr>
            <w:tcW w:type="pct" w:w="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EX-03</w:t>
            </w:r>
          </w:p>
        </w:tc>
        <w:tc>
          <w:tcPr>
            <w:tcW w:type="pct" w:w="3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利用者預りアドレスと自己保有アドレスの種別バリデーションが一部新規アドレスで未登録のため、誤勘定への計上をブロックできなかった。</w:t>
            </w:r>
          </w:p>
        </w:tc>
        <w:tc>
          <w:tcPr>
            <w:tcW w:type="pct" w:w="10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高</w:t>
            </w:r>
          </w:p>
        </w:tc>
        <w:tc>
          <w:tcPr>
            <w:tcW w:type="pct" w:w="25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アドレス種別マスタへの新規アドレス登録が承認フローと連動しておらず、未分類アドレスがデフォルトで自己保有扱いとなる設計欠陥。分別管理統制の自動化が不完全。</w:t>
            </w:r>
          </w:p>
        </w:tc>
        <w:tc>
          <w:tcPr>
            <w:tcW w:type="pct" w:w="25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新規アドレス生成時に種別登録を必須化（未登録は計上ブロック）。マルチシグ・暗号鍵管理と連動した承認ワークフローを実装。分別管理バリデーションを日次から取引単位（リアルタイム）に強化。</w:t>
            </w:r>
          </w:p>
        </w:tc>
      </w:tr>
      <w:tr>
        <w:tc>
          <w:tcPr>
            <w:tcW w:type="pct" w:w="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EX-04</w:t>
            </w:r>
          </w:p>
        </w:tc>
        <w:tc>
          <w:tcPr>
            <w:tcW w:type="pct" w:w="3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マイニング報酬の認識時点（実現可能性が高まった時点）の判定基準が未定義で、テスト未検証のまま。</w:t>
            </w:r>
          </w:p>
        </w:tc>
        <w:tc>
          <w:tcPr>
            <w:tcW w:type="pct" w:w="10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中</w:t>
            </w:r>
          </w:p>
        </w:tc>
        <w:tc>
          <w:tcPr>
            <w:tcW w:type="pct" w:w="25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報酬確定の定義（プール報酬確定／受領可能化／一定confirmations）がシステム要件・社内規程ともに未確定。</w:t>
            </w:r>
          </w:p>
        </w:tc>
        <w:tc>
          <w:tcPr>
            <w:tcW w:type="pct" w:w="25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マイニング報酬の認識時点を社内規程で定義（確定タイミングと時価適用基準）。対応する電力等コストの費用対応ルールも整備し、テストケースを追加検証。</w:t>
            </w:r>
          </w:p>
        </w:tc>
      </w:tr>
      <w:tr>
        <w:tc>
          <w:tcPr>
            <w:tcW w:type="pct" w:w="8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EX-05</w:t>
            </w:r>
          </w:p>
        </w:tc>
        <w:tc>
          <w:tcPr>
            <w:tcW w:type="pct" w:w="32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時価（公正な評価額）取込インターフェースの価格ソース選定・優先順位ロジックの変更管理証跡が不十分。</w:t>
            </w:r>
          </w:p>
        </w:tc>
        <w:tc>
          <w:tcPr>
            <w:tcW w:type="pct" w:w="10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中</w:t>
            </w:r>
          </w:p>
        </w:tc>
        <w:tc>
          <w:tcPr>
            <w:tcW w:type="pct" w:w="25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価格ソースマスタの変更が開発者により直接実施され、変更承認・テスト・本番移行のITGC（変更管理）プロセスが一部迂回されていた。</w:t>
            </w:r>
          </w:p>
        </w:tc>
        <w:tc>
          <w:tcPr>
            <w:tcW w:type="pct" w:w="25%"/>
            <w:tcMar>
              <w:top w:type="dxa" w:w="30"/>
              <w:left w:type="dxa" w:w="50"/>
              <w:bottom w:type="dxa" w:w="30"/>
              <w:right w:type="dxa" w:w="5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3"/>
                <w:szCs w:val="13"/>
              </w:rPr>
              <w:t xml:space="preserve">価格ソース・基準取引所マスタの変更を変更管理対象に明確化し、承認・テスト証跡を必須化。公正な評価額の算定根拠を四半期ごとにレビューする統制を追加。</w:t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5. 総合所見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20"/>
          <w:szCs w:val="20"/>
        </w:rPr>
        <w:t xml:space="preserve">新会計システムは、媒介・取次手数料の純額認識（TC-01）、自己保有の活発市場ありの時価評価（TC-03）、利用者預りの両建・期末同額再評価（TC-05/06）、移動平均原価による売却損益（TC-10）など主要な実務対応報告第38号準拠処理について概ね適切に機能している。三層照合のうちオンチェーン⇔台帳（REC-01）、資産・負債同額（REC-03）、分別管理（REC-04）は一致を確認した。一方で、(1)活発市場なし通貨の評価切下げ自動化と判定基準の規程化不足（EX-01・高）、(2)アドレス種別バリデーション欠陥による分別管理リスク（EX-03・高）は本番移行前に必須是正。加えて手数料カットオフ（EX-02）、マイニング報酬認識時点の未定義（EX-04）、価格ソース変更管理（EX-05）の中位課題の対応が必要。是正完了および再テスト（特にTC-04・TC-07・TC-09および再照合REC-02・REC-05）の合格を条件に受入可とする会計士レビュー前提のドラフト判定。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Yu Gothic" w:cs="Yu Gothic" w:eastAsia="Yu Gothic" w:hAnsi="Yu Gothic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サンプル暗号資産交換 新会計システム UAT会計検証</dc:title>
  <dc:creator>BENTO — 会計士 × AI</dc:creator>
  <cp:lastModifiedBy>Un-named</cp:lastModifiedBy>
  <cp:revision>1</cp:revision>
  <dcterms:created xsi:type="dcterms:W3CDTF">2026-07-03T07:33:40.757Z</dcterms:created>
  <dcterms:modified xsi:type="dcterms:W3CDTF">2026-07-03T07:33:40.757Z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