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28"/>
          <w:szCs w:val="28"/>
        </w:rPr>
        <w:t xml:space="preserve">サンプル小売株式会社 EC事業部 販売管理システム（受注→出荷→売上計上→入金消込／ポイント・返品・モール手数料連携）</w:t>
      </w:r>
    </w:p>
    <w:p>
      <w:pPr>
        <w:spacing w:after="20"/>
        <w:jc w:val="center"/>
      </w:pPr>
      <w:r>
        <w:rPr>
          <w:rFonts w:ascii="Yu Gothic" w:cs="Yu Gothic" w:eastAsia="Yu Gothic" w:hAnsi="Yu Gothic"/>
          <w:sz w:val="20"/>
          <w:szCs w:val="20"/>
        </w:rPr>
        <w:t xml:space="preserve">UAT会計検証パッケージ</w:t>
      </w:r>
    </w:p>
    <w:p>
      <w:pPr>
        <w:spacing w:after="160"/>
        <w:jc w:val="center"/>
      </w:pPr>
      <w:r>
        <w:rPr>
          <w:rFonts w:ascii="Yu Gothic" w:cs="Yu Gothic" w:eastAsia="Yu Gothic" w:hAnsi="Yu Gothic"/>
          <w:color w:val="8A8170"/>
          <w:sz w:val="15"/>
          <w:szCs w:val="15"/>
        </w:rPr>
        <w:t xml:space="preserve">AI生成ドラフト・会計士レビュー前提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作成者</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
            </w:r>
          </w:p>
        </w:tc>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査閲者</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bl>
    <w:p>
      <w:pPr>
        <w:pStyle w:val="Heading1"/>
        <w:spacing w:after="80" w:before="280"/>
      </w:pPr>
      <w:r>
        <w:rPr>
          <w:rFonts w:ascii="Yu Gothic" w:cs="Yu Gothic" w:eastAsia="Yu Gothic" w:hAnsi="Yu Gothic"/>
          <w:b/>
          <w:bCs/>
        </w:rPr>
        <w:t xml:space="preserve">1. 概要</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tblGrid>
      <w:tr>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目的</w:t>
            </w:r>
          </w:p>
        </w:tc>
        <w:tc>
          <w:tcPr>
            <w:tcW w:type="pct" w:w="82%"/>
            <w:tcMar>
              <w:top w:type="dxa" w:w="30"/>
              <w:left w:type="dxa" w:w="50"/>
              <w:bottom w:type="dxa" w:w="30"/>
              <w:right w:type="dxa" w:w="50"/>
            </w:tcMar>
          </w:tcPr>
          <w:p>
            <w:r>
              <w:rPr>
                <w:rFonts w:ascii="Yu Gothic" w:cs="Yu Gothic" w:eastAsia="Yu Gothic" w:hAnsi="Yu Gothic"/>
                <w:b w:val="false"/>
                <w:bCs w:val="false"/>
                <w:sz w:val="13"/>
                <w:szCs w:val="13"/>
              </w:rPr>
              <w:t xml:space="preserve">新販売管理システムが生成する会計仕訳が、収益認識会計基準(企業会計基準第29号)・適用指針に準拠し、勘定科目・金額・計上タイミング・税区分が正確に処理されることをテストケース(想定仕訳)と突合により検証する。</w:t>
            </w:r>
          </w:p>
        </w:tc>
      </w:tr>
      <w:tr>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範囲</w:t>
            </w:r>
          </w:p>
        </w:tc>
        <w:tc>
          <w:tcPr>
            <w:tcW w:type="pct" w:w="82%"/>
            <w:tcMar>
              <w:top w:type="dxa" w:w="30"/>
              <w:left w:type="dxa" w:w="50"/>
              <w:bottom w:type="dxa" w:w="30"/>
              <w:right w:type="dxa" w:w="50"/>
            </w:tcMar>
          </w:tcPr>
          <w:p>
            <w:r>
              <w:rPr>
                <w:rFonts w:ascii="Yu Gothic" w:cs="Yu Gothic" w:eastAsia="Yu Gothic" w:hAnsi="Yu Gothic"/>
                <w:b w:val="false"/>
                <w:bCs w:val="false"/>
                <w:sz w:val="13"/>
                <w:szCs w:val="13"/>
              </w:rPr>
              <w:t xml:space="preserve">出荷基準による売上計上、ポイント（契約負債＝履行義務の配分）、返品処理(返品権付き販売)、モール手数料(本人/代理人判定含む)、入金消込、消費税区分を対象。給与・固定資産等の周辺領域は対象外。</w:t>
            </w:r>
          </w:p>
        </w:tc>
      </w:tr>
      <w:tr>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進め方</w:t>
            </w:r>
          </w:p>
        </w:tc>
        <w:tc>
          <w:tcPr>
            <w:tcW w:type="pct" w:w="82%"/>
            <w:tcMar>
              <w:top w:type="dxa" w:w="30"/>
              <w:left w:type="dxa" w:w="50"/>
              <w:bottom w:type="dxa" w:w="30"/>
              <w:right w:type="dxa" w:w="50"/>
            </w:tcMar>
          </w:tcPr>
          <w:p>
            <w:r>
              <w:rPr>
                <w:rFonts w:ascii="Yu Gothic" w:cs="Yu Gothic" w:eastAsia="Yu Gothic" w:hAnsi="Yu Gothic"/>
                <w:b w:val="false"/>
                <w:bCs w:val="false"/>
                <w:sz w:val="13"/>
                <w:szCs w:val="13"/>
              </w:rPr>
              <w:t xml:space="preserve">代表取引のテストケースを設計し、システム自動生成仕訳と専門家想定仕訳を1件ずつ突合。さらに販売管理サブシステム残高と総勘定元帳の整合、入金消込と債権年齢表の突合を実施。差異は原因分析し是正方針を提示。</w:t>
            </w:r>
          </w:p>
        </w:tc>
      </w:tr>
      <w:tr>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基準</w:t>
            </w:r>
          </w:p>
        </w:tc>
        <w:tc>
          <w:tcPr>
            <w:tcW w:type="pct" w:w="82%"/>
            <w:tcMar>
              <w:top w:type="dxa" w:w="30"/>
              <w:left w:type="dxa" w:w="50"/>
              <w:bottom w:type="dxa" w:w="30"/>
              <w:right w:type="dxa" w:w="50"/>
            </w:tcMar>
          </w:tcPr>
          <w:p>
            <w:r>
              <w:rPr>
                <w:rFonts w:ascii="Yu Gothic" w:cs="Yu Gothic" w:eastAsia="Yu Gothic" w:hAnsi="Yu Gothic"/>
                <w:b w:val="false"/>
                <w:bCs w:val="false"/>
                <w:sz w:val="13"/>
                <w:szCs w:val="13"/>
              </w:rPr>
              <w:t xml:space="preserve">企業会計基準第29号「収益認識に関する会計基準」及び同適用指針(出荷基準は適用指針98項の代替的取扱い)、企業会計基準第9号「棚卸資産の評価に関する会計基準」、消費税法、J-SOX(財務報告に係る内部統制)、ITGC/ITAC(アクセス管理・IF統制・自動計算)。</w:t>
            </w:r>
          </w:p>
        </w:tc>
      </w:tr>
    </w:tbl>
    <w:p>
      <w:pPr>
        <w:pStyle w:val="Heading1"/>
        <w:spacing w:after="80" w:before="280"/>
      </w:pPr>
      <w:r>
        <w:rPr>
          <w:rFonts w:ascii="Yu Gothic" w:cs="Yu Gothic" w:eastAsia="Yu Gothic" w:hAnsi="Yu Gothic"/>
          <w:b/>
          <w:bCs/>
        </w:rPr>
        <w:t xml:space="preserve">2. テストケース・想定仕訳</w:t>
      </w:r>
    </w:p>
    <w:p>
      <w:pPr>
        <w:pStyle w:val="Heading2"/>
        <w:spacing w:after="50" w:before="200"/>
      </w:pPr>
      <w:r>
        <w:rPr>
          <w:rFonts w:ascii="Yu Gothic" w:cs="Yu Gothic" w:eastAsia="Yu Gothic" w:hAnsi="Yu Gothic"/>
          <w:b/>
          <w:bCs/>
        </w:rPr>
        <w:t xml:space="preserve">売上計上(出荷基準)</w:t>
      </w:r>
    </w:p>
    <w:p>
      <w:pPr>
        <w:pStyle w:val="Heading3"/>
        <w:spacing w:after="50" w:before="200"/>
      </w:pPr>
      <w:r>
        <w:rPr>
          <w:rFonts w:ascii="Yu Gothic" w:cs="Yu Gothic" w:eastAsia="Yu Gothic" w:hAnsi="Yu Gothic"/>
          <w:b/>
          <w:bCs/>
        </w:rPr>
        <w:t xml:space="preserve">TC-01　自社在庫商品をECで販売し出荷完了。出荷基準で売上計上。（売上計上(出荷基準)・OK）</w:t>
      </w:r>
    </w:p>
    <w:p>
      <w:pPr>
        <w:spacing w:after="60"/>
      </w:pPr>
      <w:r>
        <w:rPr>
          <w:rFonts w:ascii="Yu Gothic" w:cs="Yu Gothic" w:eastAsia="Yu Gothic" w:hAnsi="Yu Gothic"/>
          <w:b w:val="false"/>
          <w:bCs w:val="false"/>
          <w:sz w:val="18"/>
          <w:szCs w:val="18"/>
        </w:rPr>
        <w:t xml:space="preserve">テストデータ：受注番号SO-1001 商品売価 11,000円(税込/消費税10% 1,000円)、出荷ステータス=出荷完了</w:t>
      </w:r>
    </w:p>
    <w:p>
      <w:pPr>
        <w:spacing w:after="60"/>
      </w:pPr>
      <w:r>
        <w:rPr>
          <w:rFonts w:ascii="Yu Gothic" w:cs="Yu Gothic" w:eastAsia="Yu Gothic" w:hAnsi="Yu Gothic"/>
          <w:b w:val="false"/>
          <w:bCs w:val="false"/>
          <w:sz w:val="18"/>
          <w:szCs w:val="18"/>
        </w:rPr>
        <w:t xml:space="preserve">確認観点：出荷完了イベントで売上計上され、受注時点では計上されないこと。税区分・税額の自動計算が正確であること。</w:t>
      </w:r>
    </w:p>
    <w:p>
      <w:pPr>
        <w:spacing w:after="60"/>
      </w:pPr>
      <w:r>
        <w:rPr>
          <w:rFonts w:ascii="Yu Gothic" w:cs="Yu Gothic" w:eastAsia="Yu Gothic" w:hAnsi="Yu Gothic"/>
          <w:b/>
          <w:bCs/>
          <w:sz w:val="18"/>
          <w:szCs w:val="18"/>
        </w:rPr>
        <w:t xml:space="preserve">想定仕訳：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借方科目</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貸方科目</w:t>
            </w:r>
          </w:p>
        </w:tc>
        <w:tc>
          <w:tcPr>
            <w:tcW w:type="pct" w:w="16%"/>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金額</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摘要</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10,000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出荷日に収益認識(履行義務の充足)。ポイント配分前の総額</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仮受消費税等</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消費税10%</w:t>
            </w:r>
          </w:p>
        </w:tc>
      </w:tr>
    </w:tbl>
    <w:p>
      <w:pPr>
        <w:pStyle w:val="Heading2"/>
        <w:spacing w:after="50" w:before="200"/>
      </w:pPr>
      <w:r>
        <w:rPr>
          <w:rFonts w:ascii="Yu Gothic" w:cs="Yu Gothic" w:eastAsia="Yu Gothic" w:hAnsi="Yu Gothic"/>
          <w:b/>
          <w:bCs/>
        </w:rPr>
        <w:t xml:space="preserve">売上原価/在庫</w:t>
      </w:r>
    </w:p>
    <w:p>
      <w:pPr>
        <w:pStyle w:val="Heading3"/>
        <w:spacing w:after="50" w:before="200"/>
      </w:pPr>
      <w:r>
        <w:rPr>
          <w:rFonts w:ascii="Yu Gothic" w:cs="Yu Gothic" w:eastAsia="Yu Gothic" w:hAnsi="Yu Gothic"/>
          <w:b/>
          <w:bCs/>
        </w:rPr>
        <w:t xml:space="preserve">TC-02　売上計上に対応する売上原価の計上(売上原価対立法)。（売上原価/在庫・OK）</w:t>
      </w:r>
    </w:p>
    <w:p>
      <w:pPr>
        <w:spacing w:after="60"/>
      </w:pPr>
      <w:r>
        <w:rPr>
          <w:rFonts w:ascii="Yu Gothic" w:cs="Yu Gothic" w:eastAsia="Yu Gothic" w:hAnsi="Yu Gothic"/>
          <w:b w:val="false"/>
          <w:bCs w:val="false"/>
          <w:sz w:val="18"/>
          <w:szCs w:val="18"/>
        </w:rPr>
        <w:t xml:space="preserve">テストデータ：SO-1001 対応商品原価 6,500円、在庫払出</w:t>
      </w:r>
    </w:p>
    <w:p>
      <w:pPr>
        <w:spacing w:after="60"/>
      </w:pPr>
      <w:r>
        <w:rPr>
          <w:rFonts w:ascii="Yu Gothic" w:cs="Yu Gothic" w:eastAsia="Yu Gothic" w:hAnsi="Yu Gothic"/>
          <w:b w:val="false"/>
          <w:bCs w:val="false"/>
          <w:sz w:val="18"/>
          <w:szCs w:val="18"/>
        </w:rPr>
        <w:t xml:space="preserve">確認観点：売上計上と売上原価が同一出荷イベントで対応計上(費用収益対応)。原価単価がマスターと一致。</w:t>
      </w:r>
    </w:p>
    <w:p>
      <w:pPr>
        <w:spacing w:after="60"/>
      </w:pPr>
      <w:r>
        <w:rPr>
          <w:rFonts w:ascii="Yu Gothic" w:cs="Yu Gothic" w:eastAsia="Yu Gothic" w:hAnsi="Yu Gothic"/>
          <w:b/>
          <w:bCs/>
          <w:sz w:val="18"/>
          <w:szCs w:val="18"/>
        </w:rPr>
        <w:t xml:space="preserve">想定仕訳：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借方科目</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貸方科目</w:t>
            </w:r>
          </w:p>
        </w:tc>
        <w:tc>
          <w:tcPr>
            <w:tcW w:type="pct" w:w="16%"/>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金額</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摘要</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売上原価</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商品</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6,500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出荷時に原価振替。売価還元法/個別原価のいずれかマスター設定に準拠</w:t>
            </w:r>
          </w:p>
        </w:tc>
      </w:tr>
    </w:tbl>
    <w:p>
      <w:pPr>
        <w:pStyle w:val="Heading2"/>
        <w:spacing w:after="50" w:before="200"/>
      </w:pPr>
      <w:r>
        <w:rPr>
          <w:rFonts w:ascii="Yu Gothic" w:cs="Yu Gothic" w:eastAsia="Yu Gothic" w:hAnsi="Yu Gothic"/>
          <w:b/>
          <w:bCs/>
        </w:rPr>
        <w:t xml:space="preserve">ポイント（契約負債＝履行義務配分）</w:t>
      </w:r>
    </w:p>
    <w:p>
      <w:pPr>
        <w:pStyle w:val="Heading3"/>
        <w:spacing w:after="50" w:before="200"/>
      </w:pPr>
      <w:r>
        <w:rPr>
          <w:rFonts w:ascii="Yu Gothic" w:cs="Yu Gothic" w:eastAsia="Yu Gothic" w:hAnsi="Yu Gothic"/>
          <w:b/>
          <w:bCs/>
        </w:rPr>
        <w:t xml:space="preserve">TC-03　購入時に将来利用可能なポイントを付与。取引価格をポイント(契約負債)に配分。（ポイント（契約負債＝履行義務配分）・差異）</w:t>
      </w:r>
    </w:p>
    <w:p>
      <w:pPr>
        <w:spacing w:after="60"/>
      </w:pPr>
      <w:r>
        <w:rPr>
          <w:rFonts w:ascii="Yu Gothic" w:cs="Yu Gothic" w:eastAsia="Yu Gothic" w:hAnsi="Yu Gothic"/>
          <w:b w:val="false"/>
          <w:bCs w:val="false"/>
          <w:sz w:val="18"/>
          <w:szCs w:val="18"/>
        </w:rPr>
        <w:t xml:space="preserve">テストデータ：売上10,000円(税抜)に対し付与ポイント500pt(1pt=1円相当)、ポイント使用見込率90%</w:t>
      </w:r>
    </w:p>
    <w:p>
      <w:pPr>
        <w:spacing w:after="60"/>
      </w:pPr>
      <w:r>
        <w:rPr>
          <w:rFonts w:ascii="Yu Gothic" w:cs="Yu Gothic" w:eastAsia="Yu Gothic" w:hAnsi="Yu Gothic"/>
          <w:b w:val="false"/>
          <w:bCs w:val="false"/>
          <w:sz w:val="18"/>
          <w:szCs w:val="18"/>
        </w:rPr>
        <w:t xml:space="preserve">確認観点：ポイント相当を売上から控除し契約負債計上。使用見込率がマスターで管理され、引当(契約負債)が自動計算されること。</w:t>
      </w:r>
    </w:p>
    <w:p>
      <w:pPr>
        <w:spacing w:after="60"/>
      </w:pPr>
      <w:r>
        <w:rPr>
          <w:rFonts w:ascii="Yu Gothic" w:cs="Yu Gothic" w:eastAsia="Yu Gothic" w:hAnsi="Yu Gothic"/>
          <w:b/>
          <w:bCs/>
          <w:sz w:val="18"/>
          <w:szCs w:val="18"/>
        </w:rPr>
        <w:t xml:space="preserve">想定仕訳：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借方科目</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貸方科目</w:t>
            </w:r>
          </w:p>
        </w:tc>
        <w:tc>
          <w:tcPr>
            <w:tcW w:type="pct" w:w="16%"/>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金額</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摘要</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契約負債(ポイント)</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431</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ポイントの独立販売価格＝500pt×使用見込90%＝450。取引価格10,000を商品：ポイント＝10,000：450で相対配分→10,000×450/10,450＝430.6→431（円未満四捨五入）。29号の重要な権利に該当</w:t>
            </w:r>
          </w:p>
        </w:tc>
      </w:tr>
    </w:tbl>
    <w:p>
      <w:pPr>
        <w:pStyle w:val="Heading2"/>
        <w:spacing w:after="50" w:before="200"/>
      </w:pPr>
      <w:r>
        <w:rPr>
          <w:rFonts w:ascii="Yu Gothic" w:cs="Yu Gothic" w:eastAsia="Yu Gothic" w:hAnsi="Yu Gothic"/>
          <w:b/>
          <w:bCs/>
        </w:rPr>
        <w:t xml:space="preserve">ポイント使用</w:t>
      </w:r>
    </w:p>
    <w:p>
      <w:pPr>
        <w:pStyle w:val="Heading3"/>
        <w:spacing w:after="50" w:before="200"/>
      </w:pPr>
      <w:r>
        <w:rPr>
          <w:rFonts w:ascii="Yu Gothic" w:cs="Yu Gothic" w:eastAsia="Yu Gothic" w:hAnsi="Yu Gothic"/>
          <w:b/>
          <w:bCs/>
        </w:rPr>
        <w:t xml:space="preserve">TC-04　後続取引で付与済ポイントを使用。契約負債を取崩し収益認識。（ポイント使用・未検証）</w:t>
      </w:r>
    </w:p>
    <w:p>
      <w:pPr>
        <w:spacing w:after="60"/>
      </w:pPr>
      <w:r>
        <w:rPr>
          <w:rFonts w:ascii="Yu Gothic" w:cs="Yu Gothic" w:eastAsia="Yu Gothic" w:hAnsi="Yu Gothic"/>
          <w:b w:val="false"/>
          <w:bCs w:val="false"/>
          <w:sz w:val="18"/>
          <w:szCs w:val="18"/>
        </w:rPr>
        <w:t xml:space="preserve">テストデータ：使用ポイント300pt（TC-03 で付与した500ptのうち）(300円相当)を新規購入に充当</w:t>
      </w:r>
    </w:p>
    <w:p>
      <w:pPr>
        <w:spacing w:after="60"/>
      </w:pPr>
      <w:r>
        <w:rPr>
          <w:rFonts w:ascii="Yu Gothic" w:cs="Yu Gothic" w:eastAsia="Yu Gothic" w:hAnsi="Yu Gothic"/>
          <w:b w:val="false"/>
          <w:bCs w:val="false"/>
          <w:sz w:val="18"/>
          <w:szCs w:val="18"/>
        </w:rPr>
        <w:t xml:space="preserve">確認観点：ポイント使用時に契約負債が正しく取崩され二重計上が生じないこと。失効ポイントの戻入処理も確認。</w:t>
      </w:r>
    </w:p>
    <w:p>
      <w:pPr>
        <w:spacing w:after="60"/>
      </w:pPr>
      <w:r>
        <w:rPr>
          <w:rFonts w:ascii="Yu Gothic" w:cs="Yu Gothic" w:eastAsia="Yu Gothic" w:hAnsi="Yu Gothic"/>
          <w:b/>
          <w:bCs/>
          <w:sz w:val="18"/>
          <w:szCs w:val="18"/>
        </w:rPr>
        <w:t xml:space="preserve">想定仕訳：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借方科目</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貸方科目</w:t>
            </w:r>
          </w:p>
        </w:tc>
        <w:tc>
          <w:tcPr>
            <w:tcW w:type="pct" w:w="16%"/>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金額</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摘要</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契約負債(ポイント)</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287</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付与時に契約負債へ配分した431のうち、使用300pt÷使用見込450pt＝66.7%を取崩（431×300/450＝287.3→287、円未満四捨五入）</w:t>
            </w:r>
          </w:p>
        </w:tc>
      </w:tr>
    </w:tbl>
    <w:p>
      <w:pPr>
        <w:pStyle w:val="Heading2"/>
        <w:spacing w:after="50" w:before="200"/>
      </w:pPr>
      <w:r>
        <w:rPr>
          <w:rFonts w:ascii="Yu Gothic" w:cs="Yu Gothic" w:eastAsia="Yu Gothic" w:hAnsi="Yu Gothic"/>
          <w:b/>
          <w:bCs/>
        </w:rPr>
        <w:t xml:space="preserve">返品(返品権付き販売)</w:t>
      </w:r>
    </w:p>
    <w:p>
      <w:pPr>
        <w:pStyle w:val="Heading3"/>
        <w:spacing w:after="50" w:before="200"/>
      </w:pPr>
      <w:r>
        <w:rPr>
          <w:rFonts w:ascii="Yu Gothic" w:cs="Yu Gothic" w:eastAsia="Yu Gothic" w:hAnsi="Yu Gothic"/>
          <w:b/>
          <w:bCs/>
        </w:rPr>
        <w:t xml:space="preserve">TC-05　出荷後に顧客都合返品。返品分の売上・原価を取消。（返品(返品権付き販売)・OK）</w:t>
      </w:r>
    </w:p>
    <w:p>
      <w:pPr>
        <w:spacing w:after="60"/>
      </w:pPr>
      <w:r>
        <w:rPr>
          <w:rFonts w:ascii="Yu Gothic" w:cs="Yu Gothic" w:eastAsia="Yu Gothic" w:hAnsi="Yu Gothic"/>
          <w:b w:val="false"/>
          <w:bCs w:val="false"/>
          <w:sz w:val="18"/>
          <w:szCs w:val="18"/>
        </w:rPr>
        <w:t xml:space="preserve">テストデータ：SO-1001のうち税込5,500円(税抜5,000円/消費税500円)分を返品、対応原価3,250円</w:t>
      </w:r>
    </w:p>
    <w:p>
      <w:pPr>
        <w:spacing w:after="60"/>
      </w:pPr>
      <w:r>
        <w:rPr>
          <w:rFonts w:ascii="Yu Gothic" w:cs="Yu Gothic" w:eastAsia="Yu Gothic" w:hAnsi="Yu Gothic"/>
          <w:b w:val="false"/>
          <w:bCs w:val="false"/>
          <w:sz w:val="18"/>
          <w:szCs w:val="18"/>
        </w:rPr>
        <w:t xml:space="preserve">確認観点：返品見込みに対する返金負債/返品資産の計上要否を判定。当期実績返品が個別取消で正しく相殺されること。</w:t>
      </w:r>
    </w:p>
    <w:p>
      <w:pPr>
        <w:spacing w:after="60"/>
      </w:pPr>
      <w:r>
        <w:rPr>
          <w:rFonts w:ascii="Yu Gothic" w:cs="Yu Gothic" w:eastAsia="Yu Gothic" w:hAnsi="Yu Gothic"/>
          <w:b/>
          <w:bCs/>
          <w:sz w:val="18"/>
          <w:szCs w:val="18"/>
        </w:rPr>
        <w:t xml:space="preserve">想定仕訳：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借方科目</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貸方科目</w:t>
            </w:r>
          </w:p>
        </w:tc>
        <w:tc>
          <w:tcPr>
            <w:tcW w:type="pct" w:w="16%"/>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金額</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摘要</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5,000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返品分の収益取消</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仮受消費税等</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消費税取消</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商品</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売上原価</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3,250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在庫戻入</w:t>
            </w:r>
          </w:p>
        </w:tc>
      </w:tr>
    </w:tbl>
    <w:p>
      <w:pPr>
        <w:pStyle w:val="Heading2"/>
        <w:spacing w:after="50" w:before="200"/>
      </w:pPr>
      <w:r>
        <w:rPr>
          <w:rFonts w:ascii="Yu Gothic" w:cs="Yu Gothic" w:eastAsia="Yu Gothic" w:hAnsi="Yu Gothic"/>
          <w:b/>
          <w:bCs/>
        </w:rPr>
        <w:t xml:space="preserve">モール手数料(本人/代理人)</w:t>
      </w:r>
    </w:p>
    <w:p>
      <w:pPr>
        <w:pStyle w:val="Heading3"/>
        <w:spacing w:after="50" w:before="200"/>
      </w:pPr>
      <w:r>
        <w:rPr>
          <w:rFonts w:ascii="Yu Gothic" w:cs="Yu Gothic" w:eastAsia="Yu Gothic" w:hAnsi="Yu Gothic"/>
          <w:b/>
          <w:bCs/>
        </w:rPr>
        <w:t xml:space="preserve">TC-06　大手ECモール経由販売。プラットフォーム手数料の処理と本人判定。（モール手数料(本人/代理人)・差異）</w:t>
      </w:r>
    </w:p>
    <w:p>
      <w:pPr>
        <w:spacing w:after="60"/>
      </w:pPr>
      <w:r>
        <w:rPr>
          <w:rFonts w:ascii="Yu Gothic" w:cs="Yu Gothic" w:eastAsia="Yu Gothic" w:hAnsi="Yu Gothic"/>
          <w:b w:val="false"/>
          <w:bCs w:val="false"/>
          <w:sz w:val="18"/>
          <w:szCs w:val="18"/>
        </w:rPr>
        <w:t xml:space="preserve">テストデータ：モール売上総額11,000円(税込)、モール手数料1,100円(税込/手数料率10%)を控除後入金</w:t>
      </w:r>
    </w:p>
    <w:p>
      <w:pPr>
        <w:spacing w:after="60"/>
      </w:pPr>
      <w:r>
        <w:rPr>
          <w:rFonts w:ascii="Yu Gothic" w:cs="Yu Gothic" w:eastAsia="Yu Gothic" w:hAnsi="Yu Gothic"/>
          <w:b w:val="false"/>
          <w:bCs w:val="false"/>
          <w:sz w:val="18"/>
          <w:szCs w:val="18"/>
        </w:rPr>
        <w:t xml:space="preserve">確認観点：本人/代理人判定(収益認識適用指針（企業会計基準適用指針第30号）第39〜47項)に基づき総額/純額処理が適切か。手数料は売上控除でなく費用計上されること。</w:t>
      </w:r>
    </w:p>
    <w:p>
      <w:pPr>
        <w:spacing w:after="60"/>
      </w:pPr>
      <w:r>
        <w:rPr>
          <w:rFonts w:ascii="Yu Gothic" w:cs="Yu Gothic" w:eastAsia="Yu Gothic" w:hAnsi="Yu Gothic"/>
          <w:b/>
          <w:bCs/>
          <w:sz w:val="18"/>
          <w:szCs w:val="18"/>
        </w:rPr>
        <w:t xml:space="preserve">想定仕訳：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借方科目</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貸方科目</w:t>
            </w:r>
          </w:p>
        </w:tc>
        <w:tc>
          <w:tcPr>
            <w:tcW w:type="pct" w:w="16%"/>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金額</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摘要</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売掛金(モール)</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10,000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自社が在庫リスクを負う本人取引のため総額計上</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売掛金(モール)</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仮受消費税等</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売上消費税</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支払手数料</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未払金/売掛金(モール)</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モール手数料(税抜)</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仮払消費税等</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未払金/売掛金(モール)</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手数料の仮払消費税</w:t>
            </w:r>
          </w:p>
        </w:tc>
      </w:tr>
    </w:tbl>
    <w:p>
      <w:pPr>
        <w:pStyle w:val="Heading2"/>
        <w:spacing w:after="50" w:before="200"/>
      </w:pPr>
      <w:r>
        <w:rPr>
          <w:rFonts w:ascii="Yu Gothic" w:cs="Yu Gothic" w:eastAsia="Yu Gothic" w:hAnsi="Yu Gothic"/>
          <w:b/>
          <w:bCs/>
        </w:rPr>
        <w:t xml:space="preserve">入金消込</w:t>
      </w:r>
    </w:p>
    <w:p>
      <w:pPr>
        <w:pStyle w:val="Heading3"/>
        <w:spacing w:after="50" w:before="200"/>
      </w:pPr>
      <w:r>
        <w:rPr>
          <w:rFonts w:ascii="Yu Gothic" w:cs="Yu Gothic" w:eastAsia="Yu Gothic" w:hAnsi="Yu Gothic"/>
          <w:b/>
          <w:bCs/>
        </w:rPr>
        <w:t xml:space="preserve">TC-07　モール精算金が手数料控除後にまとめて入金、複数受注を消込。（入金消込・OK）</w:t>
      </w:r>
    </w:p>
    <w:p>
      <w:pPr>
        <w:spacing w:after="60"/>
      </w:pPr>
      <w:r>
        <w:rPr>
          <w:rFonts w:ascii="Yu Gothic" w:cs="Yu Gothic" w:eastAsia="Yu Gothic" w:hAnsi="Yu Gothic"/>
          <w:b w:val="false"/>
          <w:bCs w:val="false"/>
          <w:sz w:val="18"/>
          <w:szCs w:val="18"/>
        </w:rPr>
        <w:t xml:space="preserve">テストデータ：入金額 9,900円(売上11,000円−手数料1,100円)、対象SO複数</w:t>
      </w:r>
    </w:p>
    <w:p>
      <w:pPr>
        <w:spacing w:after="60"/>
      </w:pPr>
      <w:r>
        <w:rPr>
          <w:rFonts w:ascii="Yu Gothic" w:cs="Yu Gothic" w:eastAsia="Yu Gothic" w:hAnsi="Yu Gothic"/>
          <w:b w:val="false"/>
          <w:bCs w:val="false"/>
          <w:sz w:val="18"/>
          <w:szCs w:val="18"/>
        </w:rPr>
        <w:t xml:space="preserve">確認観点：入金額と債権残高の自動マッチング。手数料相殺仕訳と入金の整合、消込残ゼロを確認。</w:t>
      </w:r>
    </w:p>
    <w:p>
      <w:pPr>
        <w:spacing w:after="60"/>
      </w:pPr>
      <w:r>
        <w:rPr>
          <w:rFonts w:ascii="Yu Gothic" w:cs="Yu Gothic" w:eastAsia="Yu Gothic" w:hAnsi="Yu Gothic"/>
          <w:b/>
          <w:bCs/>
          <w:sz w:val="18"/>
          <w:szCs w:val="18"/>
        </w:rPr>
        <w:t xml:space="preserve">想定仕訳：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借方科目</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貸方科目</w:t>
            </w:r>
          </w:p>
        </w:tc>
        <w:tc>
          <w:tcPr>
            <w:tcW w:type="pct" w:w="16%"/>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金額</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摘要</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普通預金</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売掛金(モール)</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9,900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手数料相殺後の純額入金消込</w:t>
            </w:r>
          </w:p>
        </w:tc>
      </w:tr>
    </w:tbl>
    <w:p>
      <w:pPr>
        <w:pStyle w:val="Heading2"/>
        <w:spacing w:after="50" w:before="200"/>
      </w:pPr>
      <w:r>
        <w:rPr>
          <w:rFonts w:ascii="Yu Gothic" w:cs="Yu Gothic" w:eastAsia="Yu Gothic" w:hAnsi="Yu Gothic"/>
          <w:b/>
          <w:bCs/>
        </w:rPr>
        <w:t xml:space="preserve">期間帰属(カットオフ)</w:t>
      </w:r>
    </w:p>
    <w:p>
      <w:pPr>
        <w:pStyle w:val="Heading3"/>
        <w:spacing w:after="50" w:before="200"/>
      </w:pPr>
      <w:r>
        <w:rPr>
          <w:rFonts w:ascii="Yu Gothic" w:cs="Yu Gothic" w:eastAsia="Yu Gothic" w:hAnsi="Yu Gothic"/>
          <w:b/>
          <w:bCs/>
        </w:rPr>
        <w:t xml:space="preserve">TC-08　期末日3/31出荷・翌期入金の売上の期間帰属。（期間帰属(カットオフ)・未検証）</w:t>
      </w:r>
    </w:p>
    <w:p>
      <w:pPr>
        <w:spacing w:after="60"/>
      </w:pPr>
      <w:r>
        <w:rPr>
          <w:rFonts w:ascii="Yu Gothic" w:cs="Yu Gothic" w:eastAsia="Yu Gothic" w:hAnsi="Yu Gothic"/>
          <w:b w:val="false"/>
          <w:bCs w:val="false"/>
          <w:sz w:val="18"/>
          <w:szCs w:val="18"/>
        </w:rPr>
        <w:t xml:space="preserve">テストデータ：3/31出荷完了 売上8,800円(税込)、入金4/5</w:t>
      </w:r>
    </w:p>
    <w:p>
      <w:pPr>
        <w:spacing w:after="60"/>
      </w:pPr>
      <w:r>
        <w:rPr>
          <w:rFonts w:ascii="Yu Gothic" w:cs="Yu Gothic" w:eastAsia="Yu Gothic" w:hAnsi="Yu Gothic"/>
          <w:b w:val="false"/>
          <w:bCs w:val="false"/>
          <w:sz w:val="18"/>
          <w:szCs w:val="18"/>
        </w:rPr>
        <w:t xml:space="preserve">確認観点：出荷日と会計計上日の一致、期ズレが生じないこと。3/31深夜出荷データの帰属判定。</w:t>
      </w:r>
    </w:p>
    <w:p>
      <w:pPr>
        <w:spacing w:after="60"/>
      </w:pPr>
      <w:r>
        <w:rPr>
          <w:rFonts w:ascii="Yu Gothic" w:cs="Yu Gothic" w:eastAsia="Yu Gothic" w:hAnsi="Yu Gothic"/>
          <w:b/>
          <w:bCs/>
          <w:sz w:val="18"/>
          <w:szCs w:val="18"/>
        </w:rPr>
        <w:t xml:space="preserve">想定仕訳：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借方科目</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貸方科目</w:t>
            </w:r>
          </w:p>
        </w:tc>
        <w:tc>
          <w:tcPr>
            <w:tcW w:type="pct" w:w="16%"/>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金額</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摘要</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8,000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出荷日基準で当期(3月)計上</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仮受消費税等</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消費税</w:t>
            </w:r>
          </w:p>
        </w:tc>
      </w:tr>
    </w:tbl>
    <w:p>
      <w:pPr>
        <w:pStyle w:val="Heading2"/>
        <w:spacing w:after="50" w:before="200"/>
      </w:pPr>
      <w:r>
        <w:rPr>
          <w:rFonts w:ascii="Yu Gothic" w:cs="Yu Gothic" w:eastAsia="Yu Gothic" w:hAnsi="Yu Gothic"/>
          <w:b/>
          <w:bCs/>
        </w:rPr>
        <w:t xml:space="preserve">代引/不明ロス</w:t>
      </w:r>
    </w:p>
    <w:p>
      <w:pPr>
        <w:pStyle w:val="Heading3"/>
        <w:spacing w:after="50" w:before="200"/>
      </w:pPr>
      <w:r>
        <w:rPr>
          <w:rFonts w:ascii="Yu Gothic" w:cs="Yu Gothic" w:eastAsia="Yu Gothic" w:hAnsi="Yu Gothic"/>
          <w:b/>
          <w:bCs/>
        </w:rPr>
        <w:t xml:space="preserve">TC-09　代引販売の現金回収と差異(不明ロス)管理。（代引/不明ロス・未検証）</w:t>
      </w:r>
    </w:p>
    <w:p>
      <w:pPr>
        <w:spacing w:after="60"/>
      </w:pPr>
      <w:r>
        <w:rPr>
          <w:rFonts w:ascii="Yu Gothic" w:cs="Yu Gothic" w:eastAsia="Yu Gothic" w:hAnsi="Yu Gothic"/>
          <w:b w:val="false"/>
          <w:bCs w:val="false"/>
          <w:sz w:val="18"/>
          <w:szCs w:val="18"/>
        </w:rPr>
        <w:t xml:space="preserve">テストデータ：代引売上3,300円、運送会社からの回収報告と入金照合</w:t>
      </w:r>
    </w:p>
    <w:p>
      <w:pPr>
        <w:spacing w:after="60"/>
      </w:pPr>
      <w:r>
        <w:rPr>
          <w:rFonts w:ascii="Yu Gothic" w:cs="Yu Gothic" w:eastAsia="Yu Gothic" w:hAnsi="Yu Gothic"/>
          <w:b w:val="false"/>
          <w:bCs w:val="false"/>
          <w:sz w:val="18"/>
          <w:szCs w:val="18"/>
        </w:rPr>
        <w:t xml:space="preserve">確認観点：回収報告と入金の差異(着服・未回収)が検知され、不明ロスが識別されること。</w:t>
      </w:r>
    </w:p>
    <w:p>
      <w:pPr>
        <w:spacing w:after="60"/>
      </w:pPr>
      <w:r>
        <w:rPr>
          <w:rFonts w:ascii="Yu Gothic" w:cs="Yu Gothic" w:eastAsia="Yu Gothic" w:hAnsi="Yu Gothic"/>
          <w:b/>
          <w:bCs/>
          <w:sz w:val="18"/>
          <w:szCs w:val="18"/>
        </w:rPr>
        <w:t xml:space="preserve">想定仕訳：</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借方科目</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貸方科目</w:t>
            </w:r>
          </w:p>
        </w:tc>
        <w:tc>
          <w:tcPr>
            <w:tcW w:type="pct" w:w="16%"/>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金額</w:t>
            </w:r>
          </w:p>
        </w:tc>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摘要</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売掛金(代引)</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売上高/仮受消費税等</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3,300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出荷時計上</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普通預金</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売掛金(代引)</w:t>
            </w:r>
          </w:p>
        </w:tc>
        <w:tc>
          <w:tcPr>
            <w:tcW w:type="pct" w:w="16%"/>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3,300</w:t>
            </w:r>
          </w:p>
        </w:tc>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回収入金消込</w:t>
            </w:r>
          </w:p>
        </w:tc>
      </w:tr>
    </w:tbl>
    <w:p>
      <w:pPr>
        <w:pStyle w:val="Heading1"/>
        <w:spacing w:after="80" w:before="280"/>
      </w:pPr>
      <w:r>
        <w:rPr>
          <w:rFonts w:ascii="Yu Gothic" w:cs="Yu Gothic" w:eastAsia="Yu Gothic" w:hAnsi="Yu Gothic"/>
          <w:b/>
          <w:bCs/>
        </w:rPr>
        <w:t xml:space="preserve">3. 突合チェック</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7%"/>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ID</w:t>
            </w:r>
          </w:p>
        </w:tc>
        <w:tc>
          <w:tcPr>
            <w:tcW w:type="pct" w:w="24%"/>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突合</w:t>
            </w:r>
          </w:p>
        </w:tc>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突合元</w:t>
            </w:r>
          </w:p>
        </w:tc>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突合先</w:t>
            </w:r>
          </w:p>
        </w:tc>
        <w:tc>
          <w:tcPr>
            <w:tcW w:type="pct" w:w="21%"/>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方法</w:t>
            </w:r>
          </w:p>
        </w:tc>
        <w:tc>
          <w:tcPr>
            <w:tcW w:type="pct" w:w="1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結果</w:t>
            </w:r>
          </w:p>
        </w:tc>
      </w:tr>
      <w:tr>
        <w:tc>
          <w:tcPr>
            <w:tcW w:type="pct" w:w="7%"/>
            <w:tcMar>
              <w:top w:type="dxa" w:w="30"/>
              <w:left w:type="dxa" w:w="50"/>
              <w:bottom w:type="dxa" w:w="30"/>
              <w:right w:type="dxa" w:w="50"/>
            </w:tcMar>
          </w:tcPr>
          <w:p>
            <w:r>
              <w:rPr>
                <w:rFonts w:ascii="Yu Gothic" w:cs="Yu Gothic" w:eastAsia="Yu Gothic" w:hAnsi="Yu Gothic"/>
                <w:b w:val="false"/>
                <w:bCs w:val="false"/>
                <w:sz w:val="13"/>
                <w:szCs w:val="13"/>
              </w:rPr>
              <w:t xml:space="preserve">REC-01</w:t>
            </w:r>
          </w:p>
        </w:tc>
        <w:tc>
          <w:tcPr>
            <w:tcW w:type="pct" w:w="24%"/>
            <w:tcMar>
              <w:top w:type="dxa" w:w="30"/>
              <w:left w:type="dxa" w:w="50"/>
              <w:bottom w:type="dxa" w:w="30"/>
              <w:right w:type="dxa" w:w="50"/>
            </w:tcMar>
          </w:tcPr>
          <w:p>
            <w:r>
              <w:rPr>
                <w:rFonts w:ascii="Yu Gothic" w:cs="Yu Gothic" w:eastAsia="Yu Gothic" w:hAnsi="Yu Gothic"/>
                <w:b w:val="false"/>
                <w:bCs w:val="false"/>
                <w:sz w:val="13"/>
                <w:szCs w:val="13"/>
              </w:rPr>
              <w:t xml:space="preserve">売上 販管サブシステム⇔総勘定元帳</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販売管理システム 売上集計(出荷ベース)</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会計システム 売上高勘定</w:t>
            </w:r>
          </w:p>
        </w:tc>
        <w:tc>
          <w:tcPr>
            <w:tcW w:type="pct" w:w="21%"/>
            <w:tcMar>
              <w:top w:type="dxa" w:w="30"/>
              <w:left w:type="dxa" w:w="50"/>
              <w:bottom w:type="dxa" w:w="30"/>
              <w:right w:type="dxa" w:w="50"/>
            </w:tcMar>
          </w:tcPr>
          <w:p>
            <w:r>
              <w:rPr>
                <w:rFonts w:ascii="Yu Gothic" w:cs="Yu Gothic" w:eastAsia="Yu Gothic" w:hAnsi="Yu Gothic"/>
                <w:b w:val="false"/>
                <w:bCs w:val="false"/>
                <w:sz w:val="13"/>
                <w:szCs w:val="13"/>
              </w:rPr>
              <w:t xml:space="preserve">日次バッチIF後、月次で売上高・仮受消費税残高を突合（許容差異 0円(端数処理除く)）</w:t>
            </w:r>
          </w:p>
        </w:tc>
        <w:tc>
          <w:tcPr>
            <w:tcW w:type="pct" w:w="12%"/>
            <w:tcMar>
              <w:top w:type="dxa" w:w="30"/>
              <w:left w:type="dxa" w:w="50"/>
              <w:bottom w:type="dxa" w:w="30"/>
              <w:right w:type="dxa" w:w="50"/>
            </w:tcMar>
          </w:tcPr>
          <w:p>
            <w:r>
              <w:rPr>
                <w:rFonts w:ascii="Yu Gothic" w:cs="Yu Gothic" w:eastAsia="Yu Gothic" w:hAnsi="Yu Gothic"/>
                <w:b w:val="false"/>
                <w:bCs w:val="false"/>
                <w:sz w:val="13"/>
                <w:szCs w:val="13"/>
              </w:rPr>
              <w:t xml:space="preserve">差異あり</w:t>
            </w:r>
          </w:p>
        </w:tc>
      </w:tr>
      <w:tr>
        <w:tc>
          <w:tcPr>
            <w:tcW w:type="pct" w:w="7%"/>
            <w:tcMar>
              <w:top w:type="dxa" w:w="30"/>
              <w:left w:type="dxa" w:w="50"/>
              <w:bottom w:type="dxa" w:w="30"/>
              <w:right w:type="dxa" w:w="50"/>
            </w:tcMar>
          </w:tcPr>
          <w:p>
            <w:r>
              <w:rPr>
                <w:rFonts w:ascii="Yu Gothic" w:cs="Yu Gothic" w:eastAsia="Yu Gothic" w:hAnsi="Yu Gothic"/>
                <w:b w:val="false"/>
                <w:bCs w:val="false"/>
                <w:sz w:val="13"/>
                <w:szCs w:val="13"/>
              </w:rPr>
              <w:t xml:space="preserve">REC-02</w:t>
            </w:r>
          </w:p>
        </w:tc>
        <w:tc>
          <w:tcPr>
            <w:tcW w:type="pct" w:w="24%"/>
            <w:tcMar>
              <w:top w:type="dxa" w:w="30"/>
              <w:left w:type="dxa" w:w="50"/>
              <w:bottom w:type="dxa" w:w="30"/>
              <w:right w:type="dxa" w:w="50"/>
            </w:tcMar>
          </w:tcPr>
          <w:p>
            <w:r>
              <w:rPr>
                <w:rFonts w:ascii="Yu Gothic" w:cs="Yu Gothic" w:eastAsia="Yu Gothic" w:hAnsi="Yu Gothic"/>
                <w:b w:val="false"/>
                <w:bCs w:val="false"/>
                <w:sz w:val="13"/>
                <w:szCs w:val="13"/>
              </w:rPr>
              <w:t xml:space="preserve">売掛金⇔債権年齢表</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会計システム 売掛金残高</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販売管理システム 債権年齢表(受注/顧客別)</w:t>
            </w:r>
          </w:p>
        </w:tc>
        <w:tc>
          <w:tcPr>
            <w:tcW w:type="pct" w:w="21%"/>
            <w:tcMar>
              <w:top w:type="dxa" w:w="30"/>
              <w:left w:type="dxa" w:w="50"/>
              <w:bottom w:type="dxa" w:w="30"/>
              <w:right w:type="dxa" w:w="50"/>
            </w:tcMar>
          </w:tcPr>
          <w:p>
            <w:r>
              <w:rPr>
                <w:rFonts w:ascii="Yu Gothic" w:cs="Yu Gothic" w:eastAsia="Yu Gothic" w:hAnsi="Yu Gothic"/>
                <w:b w:val="false"/>
                <w:bCs w:val="false"/>
                <w:sz w:val="13"/>
                <w:szCs w:val="13"/>
              </w:rPr>
              <w:t xml:space="preserve">月末残高を顧客・チャネル別に突合し滞留区分確認（許容差異 0円）</w:t>
            </w:r>
          </w:p>
        </w:tc>
        <w:tc>
          <w:tcPr>
            <w:tcW w:type="pct" w:w="12%"/>
            <w:tcMar>
              <w:top w:type="dxa" w:w="30"/>
              <w:left w:type="dxa" w:w="50"/>
              <w:bottom w:type="dxa" w:w="30"/>
              <w:right w:type="dxa" w:w="50"/>
            </w:tcMar>
          </w:tcPr>
          <w:p>
            <w:r>
              <w:rPr>
                <w:rFonts w:ascii="Yu Gothic" w:cs="Yu Gothic" w:eastAsia="Yu Gothic" w:hAnsi="Yu Gothic"/>
                <w:b w:val="false"/>
                <w:bCs w:val="false"/>
                <w:sz w:val="13"/>
                <w:szCs w:val="13"/>
              </w:rPr>
              <w:t xml:space="preserve">一致</w:t>
            </w:r>
          </w:p>
        </w:tc>
      </w:tr>
      <w:tr>
        <w:tc>
          <w:tcPr>
            <w:tcW w:type="pct" w:w="7%"/>
            <w:tcMar>
              <w:top w:type="dxa" w:w="30"/>
              <w:left w:type="dxa" w:w="50"/>
              <w:bottom w:type="dxa" w:w="30"/>
              <w:right w:type="dxa" w:w="50"/>
            </w:tcMar>
          </w:tcPr>
          <w:p>
            <w:r>
              <w:rPr>
                <w:rFonts w:ascii="Yu Gothic" w:cs="Yu Gothic" w:eastAsia="Yu Gothic" w:hAnsi="Yu Gothic"/>
                <w:b w:val="false"/>
                <w:bCs w:val="false"/>
                <w:sz w:val="13"/>
                <w:szCs w:val="13"/>
              </w:rPr>
              <w:t xml:space="preserve">REC-03</w:t>
            </w:r>
          </w:p>
        </w:tc>
        <w:tc>
          <w:tcPr>
            <w:tcW w:type="pct" w:w="24%"/>
            <w:tcMar>
              <w:top w:type="dxa" w:w="30"/>
              <w:left w:type="dxa" w:w="50"/>
              <w:bottom w:type="dxa" w:w="30"/>
              <w:right w:type="dxa" w:w="50"/>
            </w:tcMar>
          </w:tcPr>
          <w:p>
            <w:r>
              <w:rPr>
                <w:rFonts w:ascii="Yu Gothic" w:cs="Yu Gothic" w:eastAsia="Yu Gothic" w:hAnsi="Yu Gothic"/>
                <w:b w:val="false"/>
                <w:bCs w:val="false"/>
                <w:sz w:val="13"/>
                <w:szCs w:val="13"/>
              </w:rPr>
              <w:t xml:space="preserve">入金消込⇔銀行/モール精算</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会計システム 入金仕訳</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銀行入金明細・モール精算レポート</w:t>
            </w:r>
          </w:p>
        </w:tc>
        <w:tc>
          <w:tcPr>
            <w:tcW w:type="pct" w:w="21%"/>
            <w:tcMar>
              <w:top w:type="dxa" w:w="30"/>
              <w:left w:type="dxa" w:w="50"/>
              <w:bottom w:type="dxa" w:w="30"/>
              <w:right w:type="dxa" w:w="50"/>
            </w:tcMar>
          </w:tcPr>
          <w:p>
            <w:r>
              <w:rPr>
                <w:rFonts w:ascii="Yu Gothic" w:cs="Yu Gothic" w:eastAsia="Yu Gothic" w:hAnsi="Yu Gothic"/>
                <w:b w:val="false"/>
                <w:bCs w:val="false"/>
                <w:sz w:val="13"/>
                <w:szCs w:val="13"/>
              </w:rPr>
              <w:t xml:space="preserve">純額入金と手数料相殺を分解して照合（許容差異 100円(振込手数料)）</w:t>
            </w:r>
          </w:p>
        </w:tc>
        <w:tc>
          <w:tcPr>
            <w:tcW w:type="pct" w:w="12%"/>
            <w:tcMar>
              <w:top w:type="dxa" w:w="30"/>
              <w:left w:type="dxa" w:w="50"/>
              <w:bottom w:type="dxa" w:w="30"/>
              <w:right w:type="dxa" w:w="50"/>
            </w:tcMar>
          </w:tcPr>
          <w:p>
            <w:r>
              <w:rPr>
                <w:rFonts w:ascii="Yu Gothic" w:cs="Yu Gothic" w:eastAsia="Yu Gothic" w:hAnsi="Yu Gothic"/>
                <w:b w:val="false"/>
                <w:bCs w:val="false"/>
                <w:sz w:val="13"/>
                <w:szCs w:val="13"/>
              </w:rPr>
              <w:t xml:space="preserve">差異あり</w:t>
            </w:r>
          </w:p>
        </w:tc>
      </w:tr>
      <w:tr>
        <w:tc>
          <w:tcPr>
            <w:tcW w:type="pct" w:w="7%"/>
            <w:tcMar>
              <w:top w:type="dxa" w:w="30"/>
              <w:left w:type="dxa" w:w="50"/>
              <w:bottom w:type="dxa" w:w="30"/>
              <w:right w:type="dxa" w:w="50"/>
            </w:tcMar>
          </w:tcPr>
          <w:p>
            <w:r>
              <w:rPr>
                <w:rFonts w:ascii="Yu Gothic" w:cs="Yu Gothic" w:eastAsia="Yu Gothic" w:hAnsi="Yu Gothic"/>
                <w:b w:val="false"/>
                <w:bCs w:val="false"/>
                <w:sz w:val="13"/>
                <w:szCs w:val="13"/>
              </w:rPr>
              <w:t xml:space="preserve">REC-04</w:t>
            </w:r>
          </w:p>
        </w:tc>
        <w:tc>
          <w:tcPr>
            <w:tcW w:type="pct" w:w="24%"/>
            <w:tcMar>
              <w:top w:type="dxa" w:w="30"/>
              <w:left w:type="dxa" w:w="50"/>
              <w:bottom w:type="dxa" w:w="30"/>
              <w:right w:type="dxa" w:w="50"/>
            </w:tcMar>
          </w:tcPr>
          <w:p>
            <w:r>
              <w:rPr>
                <w:rFonts w:ascii="Yu Gothic" w:cs="Yu Gothic" w:eastAsia="Yu Gothic" w:hAnsi="Yu Gothic"/>
                <w:b w:val="false"/>
                <w:bCs w:val="false"/>
                <w:sz w:val="13"/>
                <w:szCs w:val="13"/>
              </w:rPr>
              <w:t xml:space="preserve">契約負債(ポイント)残高検証</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会計システム 契約負債残高</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ポイント管理サブシステム 未使用ポイント残高×使用見込率</w:t>
            </w:r>
          </w:p>
        </w:tc>
        <w:tc>
          <w:tcPr>
            <w:tcW w:type="pct" w:w="21%"/>
            <w:tcMar>
              <w:top w:type="dxa" w:w="30"/>
              <w:left w:type="dxa" w:w="50"/>
              <w:bottom w:type="dxa" w:w="30"/>
              <w:right w:type="dxa" w:w="50"/>
            </w:tcMar>
          </w:tcPr>
          <w:p>
            <w:r>
              <w:rPr>
                <w:rFonts w:ascii="Yu Gothic" w:cs="Yu Gothic" w:eastAsia="Yu Gothic" w:hAnsi="Yu Gothic"/>
                <w:b w:val="false"/>
                <w:bCs w:val="false"/>
                <w:sz w:val="13"/>
                <w:szCs w:val="13"/>
              </w:rPr>
              <w:t xml:space="preserve">月末未使用ポイント残高に使用見込率を乗じた金額と帳簿残高を突合（許容差異 重要性基準値以内）</w:t>
            </w:r>
          </w:p>
        </w:tc>
        <w:tc>
          <w:tcPr>
            <w:tcW w:type="pct" w:w="12%"/>
            <w:tcMar>
              <w:top w:type="dxa" w:w="30"/>
              <w:left w:type="dxa" w:w="50"/>
              <w:bottom w:type="dxa" w:w="30"/>
              <w:right w:type="dxa" w:w="50"/>
            </w:tcMar>
          </w:tcPr>
          <w:p>
            <w:r>
              <w:rPr>
                <w:rFonts w:ascii="Yu Gothic" w:cs="Yu Gothic" w:eastAsia="Yu Gothic" w:hAnsi="Yu Gothic"/>
                <w:b w:val="false"/>
                <w:bCs w:val="false"/>
                <w:sz w:val="13"/>
                <w:szCs w:val="13"/>
              </w:rPr>
              <w:t xml:space="preserve">未実施</w:t>
            </w:r>
          </w:p>
        </w:tc>
      </w:tr>
      <w:tr>
        <w:tc>
          <w:tcPr>
            <w:tcW w:type="pct" w:w="7%"/>
            <w:tcMar>
              <w:top w:type="dxa" w:w="30"/>
              <w:left w:type="dxa" w:w="50"/>
              <w:bottom w:type="dxa" w:w="30"/>
              <w:right w:type="dxa" w:w="50"/>
            </w:tcMar>
          </w:tcPr>
          <w:p>
            <w:r>
              <w:rPr>
                <w:rFonts w:ascii="Yu Gothic" w:cs="Yu Gothic" w:eastAsia="Yu Gothic" w:hAnsi="Yu Gothic"/>
                <w:b w:val="false"/>
                <w:bCs w:val="false"/>
                <w:sz w:val="13"/>
                <w:szCs w:val="13"/>
              </w:rPr>
              <w:t xml:space="preserve">REC-05</w:t>
            </w:r>
          </w:p>
        </w:tc>
        <w:tc>
          <w:tcPr>
            <w:tcW w:type="pct" w:w="24%"/>
            <w:tcMar>
              <w:top w:type="dxa" w:w="30"/>
              <w:left w:type="dxa" w:w="50"/>
              <w:bottom w:type="dxa" w:w="30"/>
              <w:right w:type="dxa" w:w="50"/>
            </w:tcMar>
          </w:tcPr>
          <w:p>
            <w:r>
              <w:rPr>
                <w:rFonts w:ascii="Yu Gothic" w:cs="Yu Gothic" w:eastAsia="Yu Gothic" w:hAnsi="Yu Gothic"/>
                <w:b w:val="false"/>
                <w:bCs w:val="false"/>
                <w:sz w:val="13"/>
                <w:szCs w:val="13"/>
              </w:rPr>
              <w:t xml:space="preserve">在庫 払出⇔売上原価</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在庫管理 払出明細</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会計システム 売上原価</w:t>
            </w:r>
          </w:p>
        </w:tc>
        <w:tc>
          <w:tcPr>
            <w:tcW w:type="pct" w:w="21%"/>
            <w:tcMar>
              <w:top w:type="dxa" w:w="30"/>
              <w:left w:type="dxa" w:w="50"/>
              <w:bottom w:type="dxa" w:w="30"/>
              <w:right w:type="dxa" w:w="50"/>
            </w:tcMar>
          </w:tcPr>
          <w:p>
            <w:r>
              <w:rPr>
                <w:rFonts w:ascii="Yu Gothic" w:cs="Yu Gothic" w:eastAsia="Yu Gothic" w:hAnsi="Yu Gothic"/>
                <w:b w:val="false"/>
                <w:bCs w:val="false"/>
                <w:sz w:val="13"/>
                <w:szCs w:val="13"/>
              </w:rPr>
              <w:t xml:space="preserve">出荷数量×原価単価と原価勘定計上額を突合（許容差異 0円）</w:t>
            </w:r>
          </w:p>
        </w:tc>
        <w:tc>
          <w:tcPr>
            <w:tcW w:type="pct" w:w="12%"/>
            <w:tcMar>
              <w:top w:type="dxa" w:w="30"/>
              <w:left w:type="dxa" w:w="50"/>
              <w:bottom w:type="dxa" w:w="30"/>
              <w:right w:type="dxa" w:w="50"/>
            </w:tcMar>
          </w:tcPr>
          <w:p>
            <w:r>
              <w:rPr>
                <w:rFonts w:ascii="Yu Gothic" w:cs="Yu Gothic" w:eastAsia="Yu Gothic" w:hAnsi="Yu Gothic"/>
                <w:b w:val="false"/>
                <w:bCs w:val="false"/>
                <w:sz w:val="13"/>
                <w:szCs w:val="13"/>
              </w:rPr>
              <w:t xml:space="preserve">一致</w:t>
            </w:r>
          </w:p>
        </w:tc>
      </w:tr>
    </w:tbl>
    <w:p>
      <w:pPr>
        <w:pStyle w:val="Heading1"/>
        <w:spacing w:after="80" w:before="280"/>
      </w:pPr>
      <w:r>
        <w:rPr>
          <w:rFonts w:ascii="Yu Gothic" w:cs="Yu Gothic" w:eastAsia="Yu Gothic" w:hAnsi="Yu Gothic"/>
          <w:b/>
          <w:bCs/>
        </w:rPr>
        <w:t xml:space="preserve">4. 差異・例外と是正</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ID</w:t>
            </w:r>
          </w:p>
        </w:tc>
        <w:tc>
          <w:tcPr>
            <w:tcW w:type="pct" w:w="3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差異・例外</w:t>
            </w:r>
          </w:p>
        </w:tc>
        <w:tc>
          <w:tcPr>
            <w:tcW w:type="pct" w:w="1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重要度</w:t>
            </w:r>
          </w:p>
        </w:tc>
        <w:tc>
          <w:tcPr>
            <w:tcW w:type="pct" w:w="25%"/>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原因</w:t>
            </w:r>
          </w:p>
        </w:tc>
        <w:tc>
          <w:tcPr>
            <w:tcW w:type="pct" w:w="25%"/>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是正</w:t>
            </w:r>
          </w:p>
        </w:tc>
      </w:tr>
      <w:tr>
        <w:tc>
          <w:tcPr>
            <w:tcW w:type="pct" w:w="8%"/>
            <w:tcMar>
              <w:top w:type="dxa" w:w="30"/>
              <w:left w:type="dxa" w:w="50"/>
              <w:bottom w:type="dxa" w:w="30"/>
              <w:right w:type="dxa" w:w="50"/>
            </w:tcMar>
          </w:tcPr>
          <w:p>
            <w:r>
              <w:rPr>
                <w:rFonts w:ascii="Yu Gothic" w:cs="Yu Gothic" w:eastAsia="Yu Gothic" w:hAnsi="Yu Gothic"/>
                <w:b w:val="false"/>
                <w:bCs w:val="false"/>
                <w:sz w:val="13"/>
                <w:szCs w:val="13"/>
              </w:rPr>
              <w:t xml:space="preserve">EX-01</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ポイント付与時に売上高から契約負債への配分(使用見込率反映)が行われず、付与ポイント全額または控除なしで売上計上されるケースがある。</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高</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システムのポイント配分ロジックが独立販売価格比配分・使用見込率(失効考慮)に対応しておらず、29号の重要な権利の会計処理が未実装。</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ポイント使用見込率マスターを設定し、付与時に契約負債へ自動配分するロジックを実装。会計士と配分方法・見込率の合理性を協議し、月次で実績失効率に基づく見直しプロセスを整備。</w:t>
            </w:r>
          </w:p>
        </w:tc>
      </w:tr>
      <w:tr>
        <w:tc>
          <w:tcPr>
            <w:tcW w:type="pct" w:w="8%"/>
            <w:tcMar>
              <w:top w:type="dxa" w:w="30"/>
              <w:left w:type="dxa" w:w="50"/>
              <w:bottom w:type="dxa" w:w="30"/>
              <w:right w:type="dxa" w:w="50"/>
            </w:tcMar>
          </w:tcPr>
          <w:p>
            <w:r>
              <w:rPr>
                <w:rFonts w:ascii="Yu Gothic" w:cs="Yu Gothic" w:eastAsia="Yu Gothic" w:hAnsi="Yu Gothic"/>
                <w:b w:val="false"/>
                <w:bCs w:val="false"/>
                <w:sz w:val="13"/>
                <w:szCs w:val="13"/>
              </w:rPr>
              <w:t xml:space="preserve">EX-02</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モール手数料が売上高から純額控除されて計上され、総額(売上高)と費用(支払手数料)の区分が不明確なケースがある。</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高</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本人/代理人判定(収益認識適用指針（企業会計基準適用指針第30号）第39〜47項)の設定が取引チャネル単位で行われておらず、在庫リスク・価格決定権を有する本人取引でも純額処理となっている。手数料の仮払消費税も未分離。</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チャネル/商品区分ごとに本人・代理人判定フラグをマスター化。本人取引は総額売上+支払手数料の費用計上に修正し、手数料の課税仕入(仮払消費税)を分離処理。判定根拠を文書化。</w:t>
            </w:r>
          </w:p>
        </w:tc>
      </w:tr>
      <w:tr>
        <w:tc>
          <w:tcPr>
            <w:tcW w:type="pct" w:w="8%"/>
            <w:tcMar>
              <w:top w:type="dxa" w:w="30"/>
              <w:left w:type="dxa" w:w="50"/>
              <w:bottom w:type="dxa" w:w="30"/>
              <w:right w:type="dxa" w:w="50"/>
            </w:tcMar>
          </w:tcPr>
          <w:p>
            <w:r>
              <w:rPr>
                <w:rFonts w:ascii="Yu Gothic" w:cs="Yu Gothic" w:eastAsia="Yu Gothic" w:hAnsi="Yu Gothic"/>
                <w:b w:val="false"/>
                <w:bCs w:val="false"/>
                <w:sz w:val="13"/>
                <w:szCs w:val="13"/>
              </w:rPr>
              <w:t xml:space="preserve">EX-03</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期末カットオフ(出荷日帰属)のテストが未実施で、期ズレリスクが残存。</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中</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出荷完了タイムスタンプと会計計上日のIFタイミング検証が未完。深夜出荷・翌日バッチ連携時の帰属判定が未確認。</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期末前後の出荷データでカットオフテストを実施。出荷完了時刻を基準とした帰属ルールをIF仕様に明文化し、3/31締めの手続を整備。</w:t>
            </w:r>
          </w:p>
        </w:tc>
      </w:tr>
      <w:tr>
        <w:tc>
          <w:tcPr>
            <w:tcW w:type="pct" w:w="8%"/>
            <w:tcMar>
              <w:top w:type="dxa" w:w="30"/>
              <w:left w:type="dxa" w:w="50"/>
              <w:bottom w:type="dxa" w:w="30"/>
              <w:right w:type="dxa" w:w="50"/>
            </w:tcMar>
          </w:tcPr>
          <w:p>
            <w:r>
              <w:rPr>
                <w:rFonts w:ascii="Yu Gothic" w:cs="Yu Gothic" w:eastAsia="Yu Gothic" w:hAnsi="Yu Gothic"/>
                <w:b w:val="false"/>
                <w:bCs w:val="false"/>
                <w:sz w:val="13"/>
                <w:szCs w:val="13"/>
              </w:rPr>
              <w:t xml:space="preserve">EX-04</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ポイント使用・失効時の契約負債取崩・戻入処理が未検証。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中</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ポイント失効ロジックとテストデータが未準備で、契約負債残高の妥当性が確認できていない。</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使用・有効期限切れ失効のテストケースを追加実行し、契約負債残高検証(REC-04)を完了させる。</w:t>
            </w:r>
          </w:p>
        </w:tc>
      </w:tr>
      <w:tr>
        <w:tc>
          <w:tcPr>
            <w:tcW w:type="pct" w:w="8%"/>
            <w:tcMar>
              <w:top w:type="dxa" w:w="30"/>
              <w:left w:type="dxa" w:w="50"/>
              <w:bottom w:type="dxa" w:w="30"/>
              <w:right w:type="dxa" w:w="50"/>
            </w:tcMar>
          </w:tcPr>
          <w:p>
            <w:r>
              <w:rPr>
                <w:rFonts w:ascii="Yu Gothic" w:cs="Yu Gothic" w:eastAsia="Yu Gothic" w:hAnsi="Yu Gothic"/>
                <w:b w:val="false"/>
                <w:bCs w:val="false"/>
                <w:sz w:val="13"/>
                <w:szCs w:val="13"/>
              </w:rPr>
              <w:t xml:space="preserve">EX-05</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代引回収差異(不明ロス・着服)の検知統制が未検証。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中</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運送会社回収報告と入金消込の自動照合・差異アラート機能のテストが未実施。J-SOX上の現金管理統制に関わる。</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回収報告データの取込と差異検知レポートをテスト。差異の調査・承認フローを業務分掌(担当者と承認者分離)とともに整備。</w:t>
            </w:r>
          </w:p>
        </w:tc>
      </w:tr>
      <w:tr>
        <w:tc>
          <w:tcPr>
            <w:tcW w:type="pct" w:w="8%"/>
            <w:tcMar>
              <w:top w:type="dxa" w:w="30"/>
              <w:left w:type="dxa" w:w="50"/>
              <w:bottom w:type="dxa" w:w="30"/>
              <w:right w:type="dxa" w:w="50"/>
            </w:tcMar>
          </w:tcPr>
          <w:p>
            <w:r>
              <w:rPr>
                <w:rFonts w:ascii="Yu Gothic" w:cs="Yu Gothic" w:eastAsia="Yu Gothic" w:hAnsi="Yu Gothic"/>
                <w:b w:val="false"/>
                <w:bCs w:val="false"/>
                <w:sz w:val="13"/>
                <w:szCs w:val="13"/>
              </w:rPr>
              <w:t xml:space="preserve">EX-06</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価格マスター(JANコード)・原価率マスターの変更承認・アクセス権限統制の評価が未完。</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低</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マスター変更のITAC(承認ワークフロー)とアクセス管理(ITGC)の証跡レビューが今回スコープで一部のみ。</w:t>
            </w:r>
          </w:p>
        </w:tc>
        <w:tc>
          <w:tcPr>
            <w:tcW w:type="pct" w:w="25%"/>
            <w:tcMar>
              <w:top w:type="dxa" w:w="30"/>
              <w:left w:type="dxa" w:w="50"/>
              <w:bottom w:type="dxa" w:w="30"/>
              <w:right w:type="dxa" w:w="50"/>
            </w:tcMar>
          </w:tcPr>
          <w:p>
            <w:r>
              <w:rPr>
                <w:rFonts w:ascii="Yu Gothic" w:cs="Yu Gothic" w:eastAsia="Yu Gothic" w:hAnsi="Yu Gothic"/>
                <w:b w:val="false"/>
                <w:bCs w:val="false"/>
                <w:sz w:val="13"/>
                <w:szCs w:val="13"/>
              </w:rPr>
              <w:t xml:space="preserve">マスター変更の承認証跡・変更ログを抽出し、職務分掌・特権ID管理を含めITGC/ITACの整備・運用評価を完了させる。</w:t>
            </w:r>
          </w:p>
        </w:tc>
      </w:tr>
    </w:tbl>
    <w:p>
      <w:pPr>
        <w:pStyle w:val="Heading1"/>
        <w:spacing w:after="80" w:before="280"/>
      </w:pPr>
      <w:r>
        <w:rPr>
          <w:rFonts w:ascii="Yu Gothic" w:cs="Yu Gothic" w:eastAsia="Yu Gothic" w:hAnsi="Yu Gothic"/>
          <w:b/>
          <w:bCs/>
        </w:rPr>
        <w:t xml:space="preserve">5. 総合所見</w:t>
      </w:r>
    </w:p>
    <w:p>
      <w:pPr>
        <w:spacing w:after="60"/>
      </w:pPr>
      <w:r>
        <w:rPr>
          <w:rFonts w:ascii="Yu Gothic" w:cs="Yu Gothic" w:eastAsia="Yu Gothic" w:hAnsi="Yu Gothic"/>
          <w:b w:val="false"/>
          <w:bCs w:val="false"/>
          <w:sz w:val="20"/>
          <w:szCs w:val="20"/>
        </w:rPr>
        <w:t xml:space="preserve">新販売管理システムの基本的な売上計上(出荷基準)・売上原価対応・返品・入金消込・在庫払出は概ね適切に仕訳生成されることを確認した(TC-01,02,05,07,REC-02,05は良好)。一方で、(1)ポイント付与の契約負債配分(EX-01)、(2)モール手数料の本人/代理人判定に基づく総額・純額処理および手数料消費税分離(EX-02)に重要な差異があり、これらは収益認識会計基準第29号への準拠上、本番稼働前の是正が必須(重要度:高)。加えてカットオフ・ポイント失効・代引差異検知・マスター/アクセス統制(EX-03〜06)は追加テストが必要。現段階では条件付き受入であり、高リスク事項の是正・再テスト完了および会計士による配分方法・本人代理人判定の妥当性レビューをもって最終受入可とすることを推奨する。本書は会計士レビュー前提のドラフトである。</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サンプル小売株式会社 EC事業部 販売管理システム（受注→出荷→売上計上→入金消込／ポイント・返品・モール手数料連携） UAT会計検証</dc:title>
  <dc:creator>BENTO — 会計士 × AI</dc:creator>
  <cp:lastModifiedBy>Un-named</cp:lastModifiedBy>
  <cp:revision>1</cp:revision>
  <dcterms:created xsi:type="dcterms:W3CDTF">2026-09-11T23:27:41.630Z</dcterms:created>
  <dcterms:modified xsi:type="dcterms:W3CDTF">2026-09-11T23:27:41.630Z</dcterms:modified>
</cp:coreProperties>
</file>

<file path=docProps/custom.xml><?xml version="1.0" encoding="utf-8"?>
<Properties xmlns="http://schemas.openxmlformats.org/officeDocument/2006/custom-properties" xmlns:vt="http://schemas.openxmlformats.org/officeDocument/2006/docPropsVTypes"/>
</file>