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サンプル製薬株式会社</w:t>
      </w:r>
    </w:p>
    <w:p>
      <w:pPr>
        <w:spacing w:after="20"/>
        <w:jc w:val="center"/>
      </w:pPr>
      <w:r>
        <w:rPr>
          <w:rFonts w:ascii="Yu Gothic" w:cs="Yu Gothic" w:eastAsia="Yu Gothic" w:hAnsi="Yu Gothic"/>
          <w:sz w:val="20"/>
          <w:szCs w:val="20"/>
        </w:rPr>
        <w:t xml:space="preserve">会計基準移行パッケージ　／　2026年3月期</w:t>
      </w:r>
    </w:p>
    <w:p>
      <w:pPr>
        <w:spacing w:after="160"/>
        <w:jc w:val="center"/>
      </w:pPr>
      <w:r>
        <w:rPr>
          <w:rFonts w:ascii="Yu Gothic" w:cs="Yu Gothic" w:eastAsia="Yu Gothic" w:hAnsi="Yu Gothic"/>
          <w:color w:val="8A8170"/>
          <w:sz w:val="15"/>
          <w:szCs w:val="15"/>
        </w:rPr>
        <w:t xml:space="preserve">現状：税務基準（確定決算主義に基づく税法基準の財務諸表。研究開発費は支出時損金算入、のれん（資産調整勘定）は5年定額損金、引当金は法人税法上の限度額ベース、棚卸資産は税務上の評価損計上要件充足時のみ減額、リースは賃貸借処理、収益は原則出荷時に益金算入）（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160"/>
      </w:pPr>
    </w:p>
    <w:p>
      <w:pPr>
        <w:pStyle w:val="Heading2"/>
        <w:spacing w:after="90" w:before="240"/>
      </w:pPr>
      <w:r>
        <w:rPr>
          <w:rFonts w:ascii="Yu Gothic" w:cs="Yu Gothic" w:eastAsia="Yu Gothic" w:hAnsi="Yu Gothic"/>
          <w:b/>
          <w:bCs/>
        </w:rPr>
        <w:t xml:space="preserve">1. 移行の概要</w:t>
      </w:r>
    </w:p>
    <w:p>
      <w:pPr>
        <w:spacing w:after="60"/>
      </w:pPr>
      <w:r>
        <w:rPr>
          <w:rFonts w:ascii="Yu Gothic" w:cs="Yu Gothic" w:eastAsia="Yu Gothic" w:hAnsi="Yu Gothic"/>
          <w:b w:val="false"/>
          <w:bCs w:val="false"/>
          <w:sz w:val="20"/>
          <w:szCs w:val="20"/>
        </w:rPr>
        <w:t xml:space="preserve">目的：確定決算主義に基づく税務基準から日本基準（企業会計基準）への移行。当期（2026年3月期）を適用初年度とし、比較年度である2025年3月期首（2024年4月1日）を移行日として遡及適用する。医薬品産業特有の論点（医薬品卸への販売と返品権・リベート、薬価改定に伴う変動対価、研究開発費・治験/CRO費用、IPR&amp;D、無形資産・のれんの減損、使用期限切れロットの評価減、共同開発・導出/導入のマイルストン収益等）を網羅的に整理する。</w:t>
      </w:r>
    </w:p>
    <w:p>
      <w:pPr>
        <w:spacing w:after="60"/>
      </w:pPr>
      <w:r>
        <w:rPr>
          <w:rFonts w:ascii="Yu Gothic" w:cs="Yu Gothic" w:eastAsia="Yu Gothic" w:hAnsi="Yu Gothic"/>
          <w:b w:val="false"/>
          <w:bCs w:val="false"/>
          <w:sz w:val="20"/>
          <w:szCs w:val="20"/>
        </w:rPr>
        <w:t xml:space="preserve">対象範囲：製薬業向けの包括的移行パッケージ。(1)収益認識（医薬品卸への販売・返品権・出荷/検収基準）(2)変動対価（リベート・販売報奨金・仕切価）(3)薬価改定に伴う変動対価 (4)研究開発費・治験/CRO費用 (5)IPR&amp;D・仕掛研究開発の企業結合時識別 (6)特許・のれん・無形資産の減損 (7)棚卸資産（使用期限ロット評価減・廃棄費用）(8)共同開発・導出/導入のマイルストン収益とライセンス (9)リース（現行第13号＋2024年新リース第34号）(10)退職給付 (11)金融商品（長期債権の現在価値・貸倒見積・外貨換算）(12)税効果会計（別表四・五との整合）。</w:t>
      </w:r>
    </w:p>
    <w:p>
      <w:pPr>
        <w:spacing w:after="60"/>
      </w:pPr>
      <w:r>
        <w:rPr>
          <w:rFonts w:ascii="Yu Gothic" w:cs="Yu Gothic" w:eastAsia="Yu Gothic" w:hAnsi="Yu Gothic"/>
          <w:b w:val="false"/>
          <w:bCs w:val="false"/>
          <w:sz w:val="20"/>
          <w:szCs w:val="20"/>
        </w:rPr>
        <w:t xml:space="preserve">移行日・時期：移行日＝2024年4月1日（2025年3月期首）。比較情報を表示するため当該移行日に開始仕訳（利益剰余金で調整）を計上し、2025年3月期・2026年3月期を新基準で表示。当期（2026年3月期）が適用初年度。</w:t>
      </w:r>
    </w:p>
    <w:p>
      <w:pPr>
        <w:spacing w:after="60"/>
      </w:pPr>
      <w:r>
        <w:rPr>
          <w:rFonts w:ascii="Yu Gothic" w:cs="Yu Gothic" w:eastAsia="Yu Gothic" w:hAnsi="Yu Gothic"/>
          <w:b w:val="false"/>
          <w:bCs w:val="false"/>
          <w:sz w:val="20"/>
          <w:szCs w:val="20"/>
        </w:rPr>
        <w:t xml:space="preserve">進め方：(1)現状把握：確定決算主義に基づく税法基準の残高・仕訳を出発点に、各企業会計基準との差異（一時差異・永久差異）を識別。(2)会計方針の選択：各基準の経過措置・代替的取扱い（収益認識適用指針の出荷基準容認、リース第34号の遡及方法等）を選択。(3)開始仕訳：移行日（2024年4月1日）に累積的影響を期首利益剰余金で調整。(4)税効果：法定実効税率30.6%で繰延税金資産・負債を測定し、別表四・五（一）と整合させる。(5)開示・システム対応：連結・個別の注記を整備し、ERP/在庫/CTMS（治験管理）/リース管理を連携。</w:t>
      </w:r>
    </w:p>
    <w:p>
      <w:pPr>
        <w:spacing w:after="60"/>
      </w:pPr>
      <w:r>
        <w:rPr>
          <w:rFonts w:ascii="Yu Gothic" w:cs="Yu Gothic" w:eastAsia="Yu Gothic" w:hAnsi="Yu Gothic"/>
          <w:b/>
          <w:bCs/>
          <w:sz w:val="20"/>
          <w:szCs w:val="20"/>
        </w:rPr>
        <w:t xml:space="preserve">税務基準（確定決算主義）からの移行：確定決算主義（法人税法第74条）の下では損金経理が要件となるため、会計上の見積費用・引当金の多くは税務上当期損金とならず、ほぼ全論点で将来減算一時差異（繰延税金資産）が生じる。具体的には、返金負債・返品資産（返品調整引当金は平成30年度改正で廃止・経過措置中）、リベート/販売報奨金引当（支払時損金）、棚卸資産評価減（現実の廃棄・滅失時損金）、研究開発費前渡金の繰延（税務は支出時損金）、退職給付（退職給付引当金は税務上損金不算入）等は将来減算一時差異。一方、のれん減損・特許の会計上の耐用年数短縮による償却超過は、税務上は資産調整勘定の5年均等損金しか認められないため、差異の解消時期に留意（一部は将来加算）。永久差異（交際費損金不算入等）は税効果対象外。法定実効税率は30.6%を前提とする。</w:t>
      </w:r>
    </w:p>
    <w:p>
      <w:pPr>
        <w:pStyle w:val="Heading2"/>
        <w:spacing w:after="90" w:before="240"/>
      </w:pPr>
      <w:r>
        <w:rPr>
          <w:rFonts w:ascii="Yu Gothic" w:cs="Yu Gothic" w:eastAsia="Yu Gothic" w:hAnsi="Yu Gothic"/>
          <w:b/>
          <w:bCs/>
        </w:rPr>
        <w:t xml:space="preserve">2. 基準別 移行調書</w:t>
      </w:r>
    </w:p>
    <w:p>
      <w:pPr>
        <w:pStyle w:val="Heading3"/>
        <w:spacing w:after="60" w:before="200"/>
      </w:pPr>
      <w:r>
        <w:rPr>
          <w:rFonts w:ascii="Yu Gothic" w:cs="Yu Gothic" w:eastAsia="Yu Gothic" w:hAnsi="Yu Gothic"/>
          <w:b/>
          <w:bCs/>
        </w:rPr>
        <w:t xml:space="preserve">企業会計基準第29号「収益認識に関する会計基準」・同適用指針第30号（収益認識（医薬品卸への販売・返品権・出荷/検収基準）・難易度高・影響額目安 500百万円）</w:t>
      </w:r>
    </w:p>
    <w:p>
      <w:pPr>
        <w:spacing w:after="60"/>
      </w:pPr>
      <w:r>
        <w:rPr>
          <w:rFonts w:ascii="Yu Gothic" w:cs="Yu Gothic" w:eastAsia="Yu Gothic" w:hAnsi="Yu Gothic"/>
          <w:b w:val="false"/>
          <w:bCs w:val="false"/>
          <w:sz w:val="18"/>
          <w:szCs w:val="18"/>
        </w:rPr>
        <w:t xml:space="preserve">適用範囲：医薬品卸売業者（卸）への医薬品販売に係る履行義務の識別と支配移転時点。返品権付き販売の処理。出荷基準の代替的取扱いの適否。</w:t>
      </w:r>
    </w:p>
    <w:p>
      <w:pPr>
        <w:spacing w:after="60"/>
      </w:pPr>
      <w:r>
        <w:rPr>
          <w:rFonts w:ascii="Yu Gothic" w:cs="Yu Gothic" w:eastAsia="Yu Gothic" w:hAnsi="Yu Gothic"/>
          <w:b w:val="false"/>
          <w:bCs w:val="false"/>
          <w:sz w:val="18"/>
          <w:szCs w:val="18"/>
        </w:rPr>
        <w:t xml:space="preserve">現状（税務/旧基準）：税務基準（確定決算主義）では原則として出荷時に益金算入。返品はその都度売上控除し、旧法人税法上の返品調整引当金を限度額まで損金経理（平成30年度改正により廃止、令和3年度まで経過措置で逓減）。卸の在庫滞留や消化状況は会計処理に反映しない。</w:t>
      </w:r>
    </w:p>
    <w:p>
      <w:pPr>
        <w:spacing w:after="60"/>
      </w:pPr>
      <w:r>
        <w:rPr>
          <w:rFonts w:ascii="Yu Gothic" w:cs="Yu Gothic" w:eastAsia="Yu Gothic" w:hAnsi="Yu Gothic"/>
          <w:b w:val="false"/>
          <w:bCs w:val="false"/>
          <w:sz w:val="18"/>
          <w:szCs w:val="18"/>
        </w:rPr>
        <w:t xml:space="preserve">新基準の処理：第29号では、卸への販売は卸が在庫に対する支配を獲得した時点（原則として出荷～検収のいずれか支配移転時点）で一時点の履行義務として収益認識。国内の通常の取引で出荷から支配移転までの期間が通常の期間（数日程度）であれば、適用指針第98項の代替的取扱いにより出荷時点での認識が容認される。卸が単なる保管者でなく支配を有する以上、いわゆる『消化基準（医療機関納入時まで繰り延べる処理）』は委託販売等に該当しない限り採用しない。返品見込分は返金負債（負債）と返品資産（棚卸資産の回収見込）を両建て計上し、取引価格から返品見込分を除外する。</w:t>
      </w:r>
    </w:p>
    <w:p>
      <w:pPr>
        <w:spacing w:after="60"/>
      </w:pPr>
      <w:r>
        <w:rPr>
          <w:rFonts w:ascii="Yu Gothic" w:cs="Yu Gothic" w:eastAsia="Yu Gothic" w:hAnsi="Yu Gothic"/>
          <w:b w:val="false"/>
          <w:bCs w:val="false"/>
          <w:sz w:val="18"/>
          <w:szCs w:val="18"/>
        </w:rPr>
        <w:t xml:space="preserve">差異の要点：消化基準を採っていた場合は支配移転時点（出荷/検収）への前倒しが必要。廃止された返品調整引当金に代えて、返金負債（売上控除）＋返品資産（原価ベースの回収見込資産）の両建てに組み替える。卸在庫の支配判定（買戻し義務・価格保護条項の有無）の精査が必要。</w:t>
      </w:r>
    </w:p>
    <w:p>
      <w:pPr>
        <w:spacing w:after="60"/>
      </w:pPr>
      <w:r>
        <w:rPr>
          <w:rFonts w:ascii="Yu Gothic" w:cs="Yu Gothic" w:eastAsia="Yu Gothic" w:hAnsi="Yu Gothic"/>
          <w:b w:val="false"/>
          <w:bCs w:val="false"/>
          <w:sz w:val="18"/>
          <w:szCs w:val="18"/>
        </w:rPr>
        <w:t xml:space="preserve">会計方針・判断：卸への販売は出荷から支配移転までが通常の期間内であるため、適用指針第98項の代替的取扱いにより出荷時点で収益認識する。返品見込は過去12ヶ月の返品実績率（売上高の0.5～1.0%）に基づき、取引価格から控除して返金負債を計上し、対応する原価を返品資産として認識する。</w:t>
      </w:r>
    </w:p>
    <w:p>
      <w:pPr>
        <w:spacing w:after="60"/>
      </w:pPr>
      <w:r>
        <w:rPr>
          <w:rFonts w:ascii="Yu Gothic" w:cs="Yu Gothic" w:eastAsia="Yu Gothic" w:hAnsi="Yu Gothic"/>
          <w:b w:val="false"/>
          <w:bCs w:val="false"/>
          <w:sz w:val="18"/>
          <w:szCs w:val="18"/>
        </w:rPr>
        <w:t xml:space="preserve">経過措置：累積的影響(期首利益剰余金で調整)／移行日（2024年4月1日）に、(1)消化基準を採っていた場合は出荷済・未消化分の売上・売上原価を支配移転時点ベースに修正、(2)旧返品調整引当金を取り崩し、返金負債（売上控除）と返品資産（原価相当）に組み替える。第29号は適用初年度の期首に累積的影響を一括計上する方法（適用指針第84項）を採用。</w:t>
      </w:r>
    </w:p>
    <w:p>
      <w:pPr>
        <w:spacing w:after="60"/>
      </w:pPr>
      <w:r>
        <w:rPr>
          <w:rFonts w:ascii="Yu Gothic" w:cs="Yu Gothic" w:eastAsia="Yu Gothic" w:hAnsi="Yu Gothic"/>
          <w:b w:val="false"/>
          <w:bCs w:val="false"/>
          <w:sz w:val="18"/>
          <w:szCs w:val="18"/>
        </w:rPr>
        <w:t xml:space="preserve">影響：[B/S] 返金負債：＋500百万円（新規・流動負債）。返品資産（棚卸資産内訳、原価ベースの回収見込）：＋350百万円。旧返品調整引当金（取崩）：▲（経過措置残高）。純額で流動負債が増加。 [P/L] 返品見込分を取引価格から控除するため売上高：▲500百万円、対応する売上原価：▲350百万円。純影響（売上総利益）：▲150百万円。期間帰属の差異は翌期以降の返品実績で解消。 [純資産] 利益剰余金：▲150百万円（税効果控除後 ≈ ▲104百万円）。移行日に期首利益剰余金で調整。</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返品見込分の取引価格控除＝返金負債の計上（開始仕訳）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返金負債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500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過去12ヶ月売上（目安50,000百万円）×返品実績率1.0%。旧『返品調整引当金』ではなく、第29号の返金負債として計上。</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返品見込分に対応する返品資産の計上（開始仕訳）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返品資産（棚卸資産）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利益剰余金（売上原価）</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返金負債500百万円に対応する回収見込在庫を原価率70%で計上（500×70%＝350）。借方は売上原価の戻し＝利益剰余金の増加。</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46</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純額の損失150百万円（返金負債500▲返品資産350）×30.6%＝45.9百万円。確定決算主義では現実の返品時に損金となるため将来減算一時差異。</w:t>
            </w:r>
          </w:p>
        </w:tc>
      </w:tr>
    </w:tbl>
    <w:p>
      <w:pPr>
        <w:spacing w:after="60"/>
      </w:pPr>
      <w:r>
        <w:rPr>
          <w:rFonts w:ascii="Yu Gothic" w:cs="Yu Gothic" w:eastAsia="Yu Gothic" w:hAnsi="Yu Gothic"/>
          <w:b w:val="false"/>
          <w:bCs w:val="false"/>
          <w:sz w:val="18"/>
          <w:szCs w:val="18"/>
        </w:rPr>
        <w:t xml:space="preserve">税効果・申告調整：返金負債は会計上当期の売上控除だが、確定決算主義の下では現実の返品時に損金算入されるため将来減算一時差異（繰延税金資産45.9百万円）。旧返品調整引当金の経過措置残高がある場合は別表四・五（一）で取崩益を加減算。</w:t>
      </w:r>
    </w:p>
    <w:p>
      <w:pPr>
        <w:spacing w:after="60"/>
      </w:pPr>
      <w:r>
        <w:rPr>
          <w:rFonts w:ascii="Yu Gothic" w:cs="Yu Gothic" w:eastAsia="Yu Gothic" w:hAnsi="Yu Gothic"/>
          <w:b w:val="false"/>
          <w:bCs w:val="false"/>
          <w:sz w:val="18"/>
          <w:szCs w:val="18"/>
        </w:rPr>
        <w:t xml:space="preserve">開示・注記：重要な会計方針注記：『医薬品卸売業者への販売は、出荷から支配移転までの期間が通常の期間であることから、出荷時点で収益を認識しています。返品が見込まれる部分については取引価格に含めず、返金負債および返品資産を計上しています。』収益認識注記（第29号80-2項）：履行義務の内容、収益認識時点、返金負債・返品資産の期末残高と増減を記載。</w:t>
      </w:r>
    </w:p>
    <w:p>
      <w:pPr>
        <w:spacing w:after="60"/>
      </w:pPr>
      <w:r>
        <w:rPr>
          <w:rFonts w:ascii="Yu Gothic" w:cs="Yu Gothic" w:eastAsia="Yu Gothic" w:hAnsi="Yu Gothic"/>
          <w:b w:val="false"/>
          <w:bCs w:val="false"/>
          <w:sz w:val="18"/>
          <w:szCs w:val="18"/>
        </w:rPr>
        <w:t xml:space="preserve">業務・システム：ERPで返品実績率の月次更新と返金負債・返品資産の自動両建てロジック。卸別の支配移転条件（買戻し・価格保護条項）のマスタ管理。消化基準データ連携の廃止と出荷/検収日基準への移行。</w:t>
      </w:r>
    </w:p>
    <w:p>
      <w:pPr>
        <w:pStyle w:val="Heading3"/>
        <w:spacing w:after="60" w:before="200"/>
      </w:pPr>
      <w:r>
        <w:rPr>
          <w:rFonts w:ascii="Yu Gothic" w:cs="Yu Gothic" w:eastAsia="Yu Gothic" w:hAnsi="Yu Gothic"/>
          <w:b/>
          <w:bCs/>
        </w:rPr>
        <w:t xml:space="preserve">企業会計基準第29号「収益認識に関する会計基準」・同適用指針（変動対価・第63～72項）（変動対価（仕切価・リベート・販売報奨金）・難易度高・影響額目安 2500百万円）</w:t>
      </w:r>
    </w:p>
    <w:p>
      <w:pPr>
        <w:spacing w:after="60"/>
      </w:pPr>
      <w:r>
        <w:rPr>
          <w:rFonts w:ascii="Yu Gothic" w:cs="Yu Gothic" w:eastAsia="Yu Gothic" w:hAnsi="Yu Gothic"/>
          <w:b w:val="false"/>
          <w:bCs w:val="false"/>
          <w:sz w:val="18"/>
          <w:szCs w:val="18"/>
        </w:rPr>
        <w:t xml:space="preserve">適用範囲：医薬品卸への仕切価設定、リベート（割戻し）、販売報奨金（アローワンス）の会計処理。売上の変動対価か販管費か、見積りの不確実性に対する制限の適用。</w:t>
      </w:r>
    </w:p>
    <w:p>
      <w:pPr>
        <w:spacing w:after="60"/>
      </w:pPr>
      <w:r>
        <w:rPr>
          <w:rFonts w:ascii="Yu Gothic" w:cs="Yu Gothic" w:eastAsia="Yu Gothic" w:hAnsi="Yu Gothic"/>
          <w:b w:val="false"/>
          <w:bCs w:val="false"/>
          <w:sz w:val="18"/>
          <w:szCs w:val="18"/>
        </w:rPr>
        <w:t xml:space="preserve">現状（税務/旧基準）：税務基準では仕切価額を益金算入し、リベート・販売報奨金は支払時（または通知時）に販管費処理。卸の赤字補填目的のリベートと販促支援を区別しないことが多い。</w:t>
      </w:r>
    </w:p>
    <w:p>
      <w:pPr>
        <w:spacing w:after="60"/>
      </w:pPr>
      <w:r>
        <w:rPr>
          <w:rFonts w:ascii="Yu Gothic" w:cs="Yu Gothic" w:eastAsia="Yu Gothic" w:hAnsi="Yu Gothic"/>
          <w:b w:val="false"/>
          <w:bCs w:val="false"/>
          <w:sz w:val="18"/>
          <w:szCs w:val="18"/>
        </w:rPr>
        <w:t xml:space="preserve">新基準の処理：第29号では、相手方に支払う対価のうち別個の財・サービスの取得でないものは取引価格から減額（売上控除）。リベート・販売報奨金は変動対価として、期待値法または最頻値法で見積り、『収益の著しい減額が生じない可能性が高い部分』に限定（変動対価の見積りの制限・第54項）して取引価格に含める。期末未払分は返金負債（またはその他負債）として計上。販促支援サービス（医療機関向けセミナー等で別個のサービスに該当するもの）の対価は販管費処理。</w:t>
      </w:r>
    </w:p>
    <w:p>
      <w:pPr>
        <w:spacing w:after="60"/>
      </w:pPr>
      <w:r>
        <w:rPr>
          <w:rFonts w:ascii="Yu Gothic" w:cs="Yu Gothic" w:eastAsia="Yu Gothic" w:hAnsi="Yu Gothic"/>
          <w:b w:val="false"/>
          <w:bCs w:val="false"/>
          <w:sz w:val="18"/>
          <w:szCs w:val="18"/>
        </w:rPr>
        <w:t xml:space="preserve">差異の要点：仕切価＝売上から、仕切価▲変動対価（リベート・報奨金）への組替えが必要。見積りの制限（第54項）の適用判断、別個のサービス（販促支援）か対価の減額かの区分が新規論点。期末の返金負債（変動対価未払）の見積り精度向上が必要。</w:t>
      </w:r>
    </w:p>
    <w:p>
      <w:pPr>
        <w:spacing w:after="60"/>
      </w:pPr>
      <w:r>
        <w:rPr>
          <w:rFonts w:ascii="Yu Gothic" w:cs="Yu Gothic" w:eastAsia="Yu Gothic" w:hAnsi="Yu Gothic"/>
          <w:b w:val="false"/>
          <w:bCs w:val="false"/>
          <w:sz w:val="18"/>
          <w:szCs w:val="18"/>
        </w:rPr>
        <w:t xml:space="preserve">会計方針・判断：卸との個別契約に基づき、(1)赤字補填リベート・目標達成報奨金は変動対価として売上控除（見積りの制限を適用し著しい減額が生じない範囲に限定）、(2)別個のサービスに該当する販促支援費は販管費処理。期末の変動対価未払見込は返金負債として計上する。</w:t>
      </w:r>
    </w:p>
    <w:p>
      <w:pPr>
        <w:spacing w:after="60"/>
      </w:pPr>
      <w:r>
        <w:rPr>
          <w:rFonts w:ascii="Yu Gothic" w:cs="Yu Gothic" w:eastAsia="Yu Gothic" w:hAnsi="Yu Gothic"/>
          <w:b w:val="false"/>
          <w:bCs w:val="false"/>
          <w:sz w:val="18"/>
          <w:szCs w:val="18"/>
        </w:rPr>
        <w:t xml:space="preserve">経過措置：累積的影響(期首利益剰余金で調整)／卸との個別契約を一覧化し各支払の性質（対価の減額／別個のサービス）を分類。移行日に変動対価相当を取引価格から控除し返金負債を計上。第29号適用初年度の期首に累積的影響を一括計上。</w:t>
      </w:r>
    </w:p>
    <w:p>
      <w:pPr>
        <w:spacing w:after="60"/>
      </w:pPr>
      <w:r>
        <w:rPr>
          <w:rFonts w:ascii="Yu Gothic" w:cs="Yu Gothic" w:eastAsia="Yu Gothic" w:hAnsi="Yu Gothic"/>
          <w:b w:val="false"/>
          <w:bCs w:val="false"/>
          <w:sz w:val="18"/>
          <w:szCs w:val="18"/>
        </w:rPr>
        <w:t xml:space="preserve">影響：[B/S] 返金負債（変動対価・リベート/販売報奨金）：＋350百万円（新規・流動負債）。 [P/L] 売上高：▲2,500百万円（仕切価から控除する変動対価の累積見積額）。販管費：▲150百万円（従来販管費計上分のうち売上控除へ振替）。 [純資産] 利益剰余金：▲2,350百万円（売上控除2,500▲販管費戻し150、税効果控除後 ≈ ▲1,632百万円）。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期末リベート見込の返金負債計上（開始仕訳）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返金負債（リベート）</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過去12ヶ月支払実績（月平均約22百万円×12ヶ月≈260）に見積りの制限を反映した250百万円。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期末販売報奨金見込の返金負債計上（開始仕訳）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返金負債（販売報奨金）</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卸契約上の年4回の達成度評価に基づく年間見積100百万円。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販促支援費（別個のサービス）の販管費振替（開始仕訳）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利益剰余金（販売促進費）</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報奨金のうち医療機関向けセミナー等の別個のサービス対価50百万円は売上控除でなく販管費。利益剰余金内の振替（純額影響なし）。</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107</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返金負債350百万円×30.6%＝107.1百万円。確定決算主義では支払時損金のため将来減算一時差異。</w:t>
            </w:r>
          </w:p>
        </w:tc>
      </w:tr>
    </w:tbl>
    <w:p>
      <w:pPr>
        <w:spacing w:after="60"/>
      </w:pPr>
      <w:r>
        <w:rPr>
          <w:rFonts w:ascii="Yu Gothic" w:cs="Yu Gothic" w:eastAsia="Yu Gothic" w:hAnsi="Yu Gothic"/>
          <w:b w:val="false"/>
          <w:bCs w:val="false"/>
          <w:sz w:val="18"/>
          <w:szCs w:val="18"/>
        </w:rPr>
        <w:t xml:space="preserve">税効果・申告調整：変動対価は会計上当期の売上控除だが、確定決算主義の下では支払時（翌期以降）に損金算入されるため将来減算一時差異（繰延税金資産107.1百万円）。別表四で『売上割戻し否認（加算）／認容（減算）』として追跡し別表五（一）で残高管理。</w:t>
      </w:r>
    </w:p>
    <w:p>
      <w:pPr>
        <w:spacing w:after="60"/>
      </w:pPr>
      <w:r>
        <w:rPr>
          <w:rFonts w:ascii="Yu Gothic" w:cs="Yu Gothic" w:eastAsia="Yu Gothic" w:hAnsi="Yu Gothic"/>
          <w:b w:val="false"/>
          <w:bCs w:val="false"/>
          <w:sz w:val="18"/>
          <w:szCs w:val="18"/>
        </w:rPr>
        <w:t xml:space="preserve">開示・注記：重要な会計方針注記：『卸へのリベートおよび販売報奨金は変動対価として取引価格から控除し、収益の著しい減額が生じない可能性が高い部分に限定して認識しています。』収益認識注記：変動対価の見積方法（期待値法／最頻値法）、見積りの制限の判断、返金負債の期末残高と増減を記載。</w:t>
      </w:r>
    </w:p>
    <w:p>
      <w:pPr>
        <w:spacing w:after="60"/>
      </w:pPr>
      <w:r>
        <w:rPr>
          <w:rFonts w:ascii="Yu Gothic" w:cs="Yu Gothic" w:eastAsia="Yu Gothic" w:hAnsi="Yu Gothic"/>
          <w:b w:val="false"/>
          <w:bCs w:val="false"/>
          <w:sz w:val="18"/>
          <w:szCs w:val="18"/>
        </w:rPr>
        <w:t xml:space="preserve">業務・システム：卸別・製品別のリベート/報奨金契約管理。月次支払実績DBと返金負債の自動見積（移動平均・見積りの制限ロジック）。別個サービス（販促支援）と対価減額の自動仕訳分岐。</w:t>
      </w:r>
    </w:p>
    <w:p>
      <w:pPr>
        <w:pStyle w:val="Heading3"/>
        <w:spacing w:after="60" w:before="200"/>
      </w:pPr>
      <w:r>
        <w:rPr>
          <w:rFonts w:ascii="Yu Gothic" w:cs="Yu Gothic" w:eastAsia="Yu Gothic" w:hAnsi="Yu Gothic"/>
          <w:b/>
          <w:bCs/>
        </w:rPr>
        <w:t xml:space="preserve">企業会計基準第29号「収益認識に関する会計基準」（変動対価）（薬価改定に伴う変動対価・難易度中・影響額目安 200百万円）</w:t>
      </w:r>
    </w:p>
    <w:p>
      <w:pPr>
        <w:spacing w:after="60"/>
      </w:pPr>
      <w:r>
        <w:rPr>
          <w:rFonts w:ascii="Yu Gothic" w:cs="Yu Gothic" w:eastAsia="Yu Gothic" w:hAnsi="Yu Gothic"/>
          <w:b w:val="false"/>
          <w:bCs w:val="false"/>
          <w:sz w:val="18"/>
          <w:szCs w:val="18"/>
        </w:rPr>
        <w:t xml:space="preserve">適用範囲：2年に1度（及び中間年改定）の薬価改定に伴う売上の事後調整。改定確定前の見積りと見積りの制限の適用。</w:t>
      </w:r>
    </w:p>
    <w:p>
      <w:pPr>
        <w:spacing w:after="60"/>
      </w:pPr>
      <w:r>
        <w:rPr>
          <w:rFonts w:ascii="Yu Gothic" w:cs="Yu Gothic" w:eastAsia="Yu Gothic" w:hAnsi="Yu Gothic"/>
          <w:b w:val="false"/>
          <w:bCs w:val="false"/>
          <w:sz w:val="18"/>
          <w:szCs w:val="18"/>
        </w:rPr>
        <w:t xml:space="preserve">現状（税務/旧基準）：税務基準では薬価改定の確定・効力発生後の実績で益金を調整。将来改定の見積りは行わない。</w:t>
      </w:r>
    </w:p>
    <w:p>
      <w:pPr>
        <w:spacing w:after="60"/>
      </w:pPr>
      <w:r>
        <w:rPr>
          <w:rFonts w:ascii="Yu Gothic" w:cs="Yu Gothic" w:eastAsia="Yu Gothic" w:hAnsi="Yu Gothic"/>
          <w:b w:val="false"/>
          <w:bCs w:val="false"/>
          <w:sz w:val="18"/>
          <w:szCs w:val="18"/>
        </w:rPr>
        <w:t xml:space="preserve">新基準の処理：第29号では、薬価改定により遡及的に価格が変動する部分は変動対価として、改定が見込まれる場合に期待値法等で見積り、見積りの制限（第54項）を適用したうえで取引価格に反映。改定が確定した時点で見積りを更新し、効力発生期間の収益を修正する。改定幅が不確実な品目は見積りの制限により取引価格に含めない。</w:t>
      </w:r>
    </w:p>
    <w:p>
      <w:pPr>
        <w:spacing w:after="60"/>
      </w:pPr>
      <w:r>
        <w:rPr>
          <w:rFonts w:ascii="Yu Gothic" w:cs="Yu Gothic" w:eastAsia="Yu Gothic" w:hAnsi="Yu Gothic"/>
          <w:b w:val="false"/>
          <w:bCs w:val="false"/>
          <w:sz w:val="18"/>
          <w:szCs w:val="18"/>
        </w:rPr>
        <w:t xml:space="preserve">差異の要点：改定決定～効力発生のタイムラグの会計反映、将来改定見込みの見積り（特に新薬・改定幅不確定品目）に対する見積りの制限の適用判断、売上の月次変動性の増加。</w:t>
      </w:r>
    </w:p>
    <w:p>
      <w:pPr>
        <w:spacing w:after="60"/>
      </w:pPr>
      <w:r>
        <w:rPr>
          <w:rFonts w:ascii="Yu Gothic" w:cs="Yu Gothic" w:eastAsia="Yu Gothic" w:hAnsi="Yu Gothic"/>
          <w:b w:val="false"/>
          <w:bCs w:val="false"/>
          <w:sz w:val="18"/>
          <w:szCs w:val="18"/>
        </w:rPr>
        <w:t xml:space="preserve">会計方針・判断：(1)改定確定時に効力発生期間の収益を遡及修正、(2)期末に次回改定が見込まれる場合は過去の改定率実績（目安▲1.5～▲3.0%）に基づき、著しい減額が生じない範囲に限定して取引価格を減額、(3)改定幅不確定品目は見積りの制限により減額しない。</w:t>
      </w:r>
    </w:p>
    <w:p>
      <w:pPr>
        <w:spacing w:after="60"/>
      </w:pPr>
      <w:r>
        <w:rPr>
          <w:rFonts w:ascii="Yu Gothic" w:cs="Yu Gothic" w:eastAsia="Yu Gothic" w:hAnsi="Yu Gothic"/>
          <w:b w:val="false"/>
          <w:bCs w:val="false"/>
          <w:sz w:val="18"/>
          <w:szCs w:val="18"/>
        </w:rPr>
        <w:t xml:space="preserve">経過措置：累積的影響(期首利益剰余金で調整)／直近3回の薬価改定（2020・2022・2024）に基づき改定率パターンを分析。移行日に、確定済改定の遡及修正と、見込改定に対する変動対価（見積りの制限後）を取引価格に反映。</w:t>
      </w:r>
    </w:p>
    <w:p>
      <w:pPr>
        <w:spacing w:after="60"/>
      </w:pPr>
      <w:r>
        <w:rPr>
          <w:rFonts w:ascii="Yu Gothic" w:cs="Yu Gothic" w:eastAsia="Yu Gothic" w:hAnsi="Yu Gothic"/>
          <w:b w:val="false"/>
          <w:bCs w:val="false"/>
          <w:sz w:val="18"/>
          <w:szCs w:val="18"/>
        </w:rPr>
        <w:t xml:space="preserve">影響：[B/S] 返金負債（薬価改定）：＋50百万円（将来改定見込の変動対価）。売掛金：▲150百万円（確定改定の遡及調整）。 [P/L] 売上高：▲200百万円（確定改定遡及150＋見込改定見積50）。 [純資産] 利益剰余金：▲200百万円（税効果控除後 ≈ ▲139百万円）。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確定薬価改定の遡及調整（開始仕訳）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売掛金</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主力品の改定率▲2.5%。2024年度の効力発生済分につき売掛金を減額。</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将来薬価改定見込の返金負債計上（開始仕訳）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返金負債（薬価改定）</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次回改定見込（改定率▲2.0%想定）に見積りの制限を適用した50百万円。改定幅不確定品目は除外。</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61</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売上控除200百万円×30.6%＝61.2百万円。確定決算主義では改定確定時に益金減算のため将来減算一時差異。</w:t>
            </w:r>
          </w:p>
        </w:tc>
      </w:tr>
    </w:tbl>
    <w:p>
      <w:pPr>
        <w:spacing w:after="60"/>
      </w:pPr>
      <w:r>
        <w:rPr>
          <w:rFonts w:ascii="Yu Gothic" w:cs="Yu Gothic" w:eastAsia="Yu Gothic" w:hAnsi="Yu Gothic"/>
          <w:b w:val="false"/>
          <w:bCs w:val="false"/>
          <w:sz w:val="18"/>
          <w:szCs w:val="18"/>
        </w:rPr>
        <w:t xml:space="preserve">税効果・申告調整：薬価改定の遡及調整・見込控除は会計上当期認識だが、税務上は改定確定年度に益金調整のため将来減算一時差異（繰延税金資産61.2百万円）。将来改定見込分は税務上認められず別表四で加算、別表五（一）で残高管理。</w:t>
      </w:r>
    </w:p>
    <w:p>
      <w:pPr>
        <w:spacing w:after="60"/>
      </w:pPr>
      <w:r>
        <w:rPr>
          <w:rFonts w:ascii="Yu Gothic" w:cs="Yu Gothic" w:eastAsia="Yu Gothic" w:hAnsi="Yu Gothic"/>
          <w:b w:val="false"/>
          <w:bCs w:val="false"/>
          <w:sz w:val="18"/>
          <w:szCs w:val="18"/>
        </w:rPr>
        <w:t xml:space="preserve">開示・注記：重要な会計方針注記：『薬価改定に伴う価格変動は変動対価として取引価格に反映し、改定確定時に見積りを更新しています。改定幅が不確実な品目は見積りの制限により取引価格に含めていません。』収益認識注記：薬価改定に係る変動対価の見積方法・残高を記載。</w:t>
      </w:r>
    </w:p>
    <w:p>
      <w:pPr>
        <w:spacing w:after="60"/>
      </w:pPr>
      <w:r>
        <w:rPr>
          <w:rFonts w:ascii="Yu Gothic" w:cs="Yu Gothic" w:eastAsia="Yu Gothic" w:hAnsi="Yu Gothic"/>
          <w:b w:val="false"/>
          <w:bCs w:val="false"/>
          <w:sz w:val="18"/>
          <w:szCs w:val="18"/>
        </w:rPr>
        <w:t xml:space="preserve">業務・システム：薬価改定情報の自動収集、品目別改定率DB、見積りの制限ロジックを組み込んだ変動対価の自動計算。</w:t>
      </w:r>
    </w:p>
    <w:p>
      <w:pPr>
        <w:pStyle w:val="Heading3"/>
        <w:spacing w:after="60" w:before="200"/>
      </w:pPr>
      <w:r>
        <w:rPr>
          <w:rFonts w:ascii="Yu Gothic" w:cs="Yu Gothic" w:eastAsia="Yu Gothic" w:hAnsi="Yu Gothic"/>
          <w:b/>
          <w:bCs/>
        </w:rPr>
        <w:t xml:space="preserve">「研究開発費等に係る会計基準」（企業会計審議会）・同注解・実務対応報告（委託研究開発）（研究開発費・治験/CRO費用・難易度高・影響額目安 400百万円）</w:t>
      </w:r>
    </w:p>
    <w:p>
      <w:pPr>
        <w:spacing w:after="60"/>
      </w:pPr>
      <w:r>
        <w:rPr>
          <w:rFonts w:ascii="Yu Gothic" w:cs="Yu Gothic" w:eastAsia="Yu Gothic" w:hAnsi="Yu Gothic"/>
          <w:b w:val="false"/>
          <w:bCs w:val="false"/>
          <w:sz w:val="18"/>
          <w:szCs w:val="18"/>
        </w:rPr>
        <w:t xml:space="preserve">適用範囲：自社研究開発、委託研究開発（CRO費用）、共同研究開発の会計処理。基礎研究～治験（Phase I～IV）の全段階。</w:t>
      </w:r>
    </w:p>
    <w:p>
      <w:pPr>
        <w:spacing w:after="60"/>
      </w:pPr>
      <w:r>
        <w:rPr>
          <w:rFonts w:ascii="Yu Gothic" w:cs="Yu Gothic" w:eastAsia="Yu Gothic" w:hAnsi="Yu Gothic"/>
          <w:b w:val="false"/>
          <w:bCs w:val="false"/>
          <w:sz w:val="18"/>
          <w:szCs w:val="18"/>
        </w:rPr>
        <w:t xml:space="preserve">現状（税務/旧基準）：税務基準では研究開発費は支出時損金。CRO前払いも支出時損金で進捗管理なし。</w:t>
      </w:r>
    </w:p>
    <w:p>
      <w:pPr>
        <w:spacing w:after="60"/>
      </w:pPr>
      <w:r>
        <w:rPr>
          <w:rFonts w:ascii="Yu Gothic" w:cs="Yu Gothic" w:eastAsia="Yu Gothic" w:hAnsi="Yu Gothic"/>
          <w:b w:val="false"/>
          <w:bCs w:val="false"/>
          <w:sz w:val="18"/>
          <w:szCs w:val="18"/>
        </w:rPr>
        <w:t xml:space="preserve">新基準の処理：研究開発費等会計基準では、研究開発費は発生時に費用処理（資産計上は認められない）。ただし役務の提供を受けていない委託研究の前払額は前渡金（資産）であり、役務提供＝検収の進捗に応じて費用化する。共同研究開発費は契約上の負担割合で自社負担分を費用認識。特定研究目的のみに使用し他に転用できない機械装置等は取得時に研究開発費として費用処理。</w:t>
      </w:r>
    </w:p>
    <w:p>
      <w:pPr>
        <w:spacing w:after="60"/>
      </w:pPr>
      <w:r>
        <w:rPr>
          <w:rFonts w:ascii="Yu Gothic" w:cs="Yu Gothic" w:eastAsia="Yu Gothic" w:hAnsi="Yu Gothic"/>
          <w:b w:val="false"/>
          <w:bCs w:val="false"/>
          <w:sz w:val="18"/>
          <w:szCs w:val="18"/>
        </w:rPr>
        <w:t xml:space="preserve">差異の要点：CRO前払金の期末按分（前渡金）管理とフェーズ別検収プロセスの整備が必要。共同研究の負担割合に基づく按分精度の向上。</w:t>
      </w:r>
    </w:p>
    <w:p>
      <w:pPr>
        <w:spacing w:after="60"/>
      </w:pPr>
      <w:r>
        <w:rPr>
          <w:rFonts w:ascii="Yu Gothic" w:cs="Yu Gothic" w:eastAsia="Yu Gothic" w:hAnsi="Yu Gothic"/>
          <w:b w:val="false"/>
          <w:bCs w:val="false"/>
          <w:sz w:val="18"/>
          <w:szCs w:val="18"/>
        </w:rPr>
        <w:t xml:space="preserve">会計方針・判断：委託研究開発（CRO）は治験フェーズ別（Phase I～IV）に進捗管理し、役務提供（検収）の進捗に応じて費用化。未検収の前払額は前渡金として資産計上。共同研究開発費は契約上の負担割合で按分。</w:t>
      </w:r>
    </w:p>
    <w:p>
      <w:pPr>
        <w:spacing w:after="60"/>
      </w:pPr>
      <w:r>
        <w:rPr>
          <w:rFonts w:ascii="Yu Gothic" w:cs="Yu Gothic" w:eastAsia="Yu Gothic" w:hAnsi="Yu Gothic"/>
          <w:b w:val="false"/>
          <w:bCs w:val="false"/>
          <w:sz w:val="18"/>
          <w:szCs w:val="18"/>
        </w:rPr>
        <w:t xml:space="preserve">経過措置：累積的影響(期首利益剰余金で調整)／移行日に支払済・未検収のCRO委託費（前渡金）を精査し、治験進捗管理表と照合のうえ未提供役務分を資産（前渡金）に振替。</w:t>
      </w:r>
    </w:p>
    <w:p>
      <w:pPr>
        <w:spacing w:after="60"/>
      </w:pPr>
      <w:r>
        <w:rPr>
          <w:rFonts w:ascii="Yu Gothic" w:cs="Yu Gothic" w:eastAsia="Yu Gothic" w:hAnsi="Yu Gothic"/>
          <w:b w:val="false"/>
          <w:bCs w:val="false"/>
          <w:sz w:val="18"/>
          <w:szCs w:val="18"/>
        </w:rPr>
        <w:t xml:space="preserve">影響：[B/S] 前渡金（研究開発費）：＋400百万円（資産化）。 [P/L] 研究開発費：▲400百万円（未検収前払分の繰延）。以後フェーズ進捗に応じ費用化。 [純資産] 利益剰余金：＋400百万円（税効果控除後 ≈ ＋278百万円）。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委託研究開発費前渡金の資産化（開始仕訳）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前渡金（研究開発費）</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利益剰余金（研究開発費）</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400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CRO委託費の支払済・未検収分。Phase I:100、Phase II:200、Phase III:100百万円。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繰延税金負債の計上（開始仕訳）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122</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前渡金400百万円×30.6%＝122.4百万円。税務上は支出時に損金算入済（会計簿価＞税務簿価）のため将来加算一時差異＝繰延税金負債。</w:t>
            </w:r>
          </w:p>
        </w:tc>
      </w:tr>
    </w:tbl>
    <w:p>
      <w:pPr>
        <w:spacing w:after="60"/>
      </w:pPr>
      <w:r>
        <w:rPr>
          <w:rFonts w:ascii="Yu Gothic" w:cs="Yu Gothic" w:eastAsia="Yu Gothic" w:hAnsi="Yu Gothic"/>
          <w:b w:val="false"/>
          <w:bCs w:val="false"/>
          <w:sz w:val="18"/>
          <w:szCs w:val="18"/>
        </w:rPr>
        <w:t xml:space="preserve">税効果・申告調整：前渡金は税務上すでに支出時損金算入済のため、会計簿価が税務簿価を上回る将来加算一時差異（繰延税金負債122.4百万円）。検収・費用化時に解消。別表四で『研究開発費前払認定損（減算）』、別表五（一）で残高管理。</w:t>
      </w:r>
    </w:p>
    <w:p>
      <w:pPr>
        <w:spacing w:after="60"/>
      </w:pPr>
      <w:r>
        <w:rPr>
          <w:rFonts w:ascii="Yu Gothic" w:cs="Yu Gothic" w:eastAsia="Yu Gothic" w:hAnsi="Yu Gothic"/>
          <w:b w:val="false"/>
          <w:bCs w:val="false"/>
          <w:sz w:val="18"/>
          <w:szCs w:val="18"/>
        </w:rPr>
        <w:t xml:space="preserve">開示・注記：重要な会計方針注記：『委託研究開発費は役務提供の進捗（検収）に応じて費用化し、未検収の前払額は前渡金として計上しています。』研究開発費総額の注記（一般管理費及び当期製造費用に含まれる研究開発費）を記載。</w:t>
      </w:r>
    </w:p>
    <w:p>
      <w:pPr>
        <w:spacing w:after="60"/>
      </w:pPr>
      <w:r>
        <w:rPr>
          <w:rFonts w:ascii="Yu Gothic" w:cs="Yu Gothic" w:eastAsia="Yu Gothic" w:hAnsi="Yu Gothic"/>
          <w:b w:val="false"/>
          <w:bCs w:val="false"/>
          <w:sz w:val="18"/>
          <w:szCs w:val="18"/>
        </w:rPr>
        <w:t xml:space="preserve">業務・システム：CTMS（治験管理）とERPの連携、CRO契約別の支払スケジュール・フェーズ別検収管理、月次按分の自動仕訳。</w:t>
      </w:r>
    </w:p>
    <w:p>
      <w:pPr>
        <w:pStyle w:val="Heading3"/>
        <w:spacing w:after="60" w:before="200"/>
      </w:pPr>
      <w:r>
        <w:rPr>
          <w:rFonts w:ascii="Yu Gothic" w:cs="Yu Gothic" w:eastAsia="Yu Gothic" w:hAnsi="Yu Gothic"/>
          <w:b/>
          <w:bCs/>
        </w:rPr>
        <w:t xml:space="preserve">企業会計基準第21号「企業結合に関する会計基準」・第10号適用指針／無形資産の識別（IPR&amp;D・仕掛研究開発（企業結合時識別）・難易度高・影響額目安 600百万円）</w:t>
      </w:r>
    </w:p>
    <w:p>
      <w:pPr>
        <w:spacing w:after="60"/>
      </w:pPr>
      <w:r>
        <w:rPr>
          <w:rFonts w:ascii="Yu Gothic" w:cs="Yu Gothic" w:eastAsia="Yu Gothic" w:hAnsi="Yu Gothic"/>
          <w:b w:val="false"/>
          <w:bCs w:val="false"/>
          <w:sz w:val="18"/>
          <w:szCs w:val="18"/>
        </w:rPr>
        <w:t xml:space="preserve">適用範囲：企業結合（買収）時の被取得企業の仕掛研究開発（IPR&amp;D）の識別可能無形資産としての認識・測定とその後の処理。</w:t>
      </w:r>
    </w:p>
    <w:p>
      <w:pPr>
        <w:spacing w:after="60"/>
      </w:pPr>
      <w:r>
        <w:rPr>
          <w:rFonts w:ascii="Yu Gothic" w:cs="Yu Gothic" w:eastAsia="Yu Gothic" w:hAnsi="Yu Gothic"/>
          <w:b w:val="false"/>
          <w:bCs w:val="false"/>
          <w:sz w:val="18"/>
          <w:szCs w:val="18"/>
        </w:rPr>
        <w:t xml:space="preserve">現状（税務/旧基準）：税務基準では企業結合時に区別せず、資産調整勘定（税務上ののれん）として5年均等で損金。IPR&amp;Dの分別管理がない。</w:t>
      </w:r>
    </w:p>
    <w:p>
      <w:pPr>
        <w:spacing w:after="60"/>
      </w:pPr>
      <w:r>
        <w:rPr>
          <w:rFonts w:ascii="Yu Gothic" w:cs="Yu Gothic" w:eastAsia="Yu Gothic" w:hAnsi="Yu Gothic"/>
          <w:b w:val="false"/>
          <w:bCs w:val="false"/>
          <w:sz w:val="18"/>
          <w:szCs w:val="18"/>
        </w:rPr>
        <w:t xml:space="preserve">新基準の処理：企業結合会計基準第29項では、被取得企業の研究開発活動の途中段階の成果（IPR&amp;D）が識別可能であれば、のれんと区別して識別可能無形資産として取得原価を配分する。償却は完成（製品化）まで行わず、減損会計基準に基づき減損の兆候判定・テストの対象とする。開発中止時は当該無形資産を費用（研究開発費）として処理する。</w:t>
      </w:r>
    </w:p>
    <w:p>
      <w:pPr>
        <w:spacing w:after="60"/>
      </w:pPr>
      <w:r>
        <w:rPr>
          <w:rFonts w:ascii="Yu Gothic" w:cs="Yu Gothic" w:eastAsia="Yu Gothic" w:hAnsi="Yu Gothic"/>
          <w:b w:val="false"/>
          <w:bCs w:val="false"/>
          <w:sz w:val="18"/>
          <w:szCs w:val="18"/>
        </w:rPr>
        <w:t xml:space="preserve">差異の要点：過年度の企業結合で取得原価配分時にIPR&amp;Dを分別認識していなかった案件の特定。識別・測定（将来CF・成功確率）の困難性。のれんとの按分替え。</w:t>
      </w:r>
    </w:p>
    <w:p>
      <w:pPr>
        <w:spacing w:after="60"/>
      </w:pPr>
      <w:r>
        <w:rPr>
          <w:rFonts w:ascii="Yu Gothic" w:cs="Yu Gothic" w:eastAsia="Yu Gothic" w:hAnsi="Yu Gothic"/>
          <w:b w:val="false"/>
          <w:bCs w:val="false"/>
          <w:sz w:val="18"/>
          <w:szCs w:val="18"/>
        </w:rPr>
        <w:t xml:space="preserve">会計方針・判断：企業結合で取得した識別可能なIPR&amp;Dをのれんと区別して無形資産計上し、製品化までは非償却・減損テスト対象とする。開発中止時は研究開発費として処理する。</w:t>
      </w:r>
    </w:p>
    <w:p>
      <w:pPr>
        <w:spacing w:after="60"/>
      </w:pPr>
      <w:r>
        <w:rPr>
          <w:rFonts w:ascii="Yu Gothic" w:cs="Yu Gothic" w:eastAsia="Yu Gothic" w:hAnsi="Yu Gothic"/>
          <w:b w:val="false"/>
          <w:bCs w:val="false"/>
          <w:sz w:val="18"/>
          <w:szCs w:val="18"/>
        </w:rPr>
        <w:t xml:space="preserve">経過措置：将来にわたり適用(プロスペクティブ)／取得原価配分（PPA）は企業結合日の事実関係に基づくため遡及的な再測定は行わず、原則として移行日現在で識別可能性が明確な案件についてのれんから無形資産へ振替。中止案件は減損認識。重要性が乏しい場合はのれんに含めて処理。</w:t>
      </w:r>
    </w:p>
    <w:p>
      <w:pPr>
        <w:spacing w:after="60"/>
      </w:pPr>
      <w:r>
        <w:rPr>
          <w:rFonts w:ascii="Yu Gothic" w:cs="Yu Gothic" w:eastAsia="Yu Gothic" w:hAnsi="Yu Gothic"/>
          <w:b w:val="false"/>
          <w:bCs w:val="false"/>
          <w:sz w:val="18"/>
          <w:szCs w:val="18"/>
        </w:rPr>
        <w:t xml:space="preserve">影響：[B/S] 無形資産（IPR&amp;D）：＋600百万円。のれん：▲600百万円（純資産影響なしの振替）。中止案件の無形資産：▲100百万円（減損）。 [P/L] 減損損失（研究開発費）：▲100百万円（中止IPR&amp;Dの全額減損）。 [純資産] 利益剰余金：▲100百万円（税効果控除後 ≈ ▲69百万円）。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IPR&amp;Dの無形資産への振替（開始仕訳）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無形資産（IPR&amp;D）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のれん</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600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2015年買収X社案件300、2018年買収Y社案件300（計600百万円）。純資産影響なしの組替。</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中止IPR&amp;Dの減損（開始仕訳）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利益剰余金（研究開発費／減損損失）</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無形資産（IPR&amp;D）</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2015年買収Z社（がん領域）開発中止。簿価100百万円を全額費用化。</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31</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減損100百万円×30.6%＝30.6百万円。税務上は資産調整勘定の5年均等損金のみで会計減損は否認されるため将来減算一時差異。</w:t>
            </w:r>
          </w:p>
        </w:tc>
      </w:tr>
    </w:tbl>
    <w:p>
      <w:pPr>
        <w:spacing w:after="60"/>
      </w:pPr>
      <w:r>
        <w:rPr>
          <w:rFonts w:ascii="Yu Gothic" w:cs="Yu Gothic" w:eastAsia="Yu Gothic" w:hAnsi="Yu Gothic"/>
          <w:b w:val="false"/>
          <w:bCs w:val="false"/>
          <w:sz w:val="18"/>
          <w:szCs w:val="18"/>
        </w:rPr>
        <w:t xml:space="preserve">税効果・申告調整：会計上の無形資産化・減損は税務上認められず（資産調整勘定の5年均等損金のみ）、会計と税務の簿価差から一時差異が生じる。中止減損は将来減算一時差異（繰延税金資産30.6百万円）。別表四・五（一）で追跡。</w:t>
      </w:r>
    </w:p>
    <w:p>
      <w:pPr>
        <w:spacing w:after="60"/>
      </w:pPr>
      <w:r>
        <w:rPr>
          <w:rFonts w:ascii="Yu Gothic" w:cs="Yu Gothic" w:eastAsia="Yu Gothic" w:hAnsi="Yu Gothic"/>
          <w:b w:val="false"/>
          <w:bCs w:val="false"/>
          <w:sz w:val="18"/>
          <w:szCs w:val="18"/>
        </w:rPr>
        <w:t xml:space="preserve">開示・注記：重要な会計方針注記：『企業結合により取得した仕掛研究開発は識別可能な無形資産として認識し、製品化まで償却せず減損テストの対象としています。』企業結合注記・無形資産注記：IPR&amp;Dの取得原価配分額、案件名、減損額・原因を記載。</w:t>
      </w:r>
    </w:p>
    <w:p>
      <w:pPr>
        <w:spacing w:after="60"/>
      </w:pPr>
      <w:r>
        <w:rPr>
          <w:rFonts w:ascii="Yu Gothic" w:cs="Yu Gothic" w:eastAsia="Yu Gothic" w:hAnsi="Yu Gothic"/>
          <w:b w:val="false"/>
          <w:bCs w:val="false"/>
          <w:sz w:val="18"/>
          <w:szCs w:val="18"/>
        </w:rPr>
        <w:t xml:space="preserve">業務・システム：IPR&amp;D案件管理（進捗・成功確率）、年次減損テスト用の案件別CFモデル、PPA時の無形資産識別プロセス。</w:t>
      </w:r>
    </w:p>
    <w:p>
      <w:pPr>
        <w:pStyle w:val="Heading3"/>
        <w:spacing w:after="60" w:before="200"/>
      </w:pPr>
      <w:r>
        <w:rPr>
          <w:rFonts w:ascii="Yu Gothic" w:cs="Yu Gothic" w:eastAsia="Yu Gothic" w:hAnsi="Yu Gothic"/>
          <w:b/>
          <w:bCs/>
        </w:rPr>
        <w:t xml:space="preserve">「固定資産の減損に係る会計基準」（企業会計審議会）・同適用指針第6号、企業会計基準第21号（のれん償却）（特許・商標・のれんの減損・難易度高・影響額目安 150百万円）</w:t>
      </w:r>
    </w:p>
    <w:p>
      <w:pPr>
        <w:spacing w:after="60"/>
      </w:pPr>
      <w:r>
        <w:rPr>
          <w:rFonts w:ascii="Yu Gothic" w:cs="Yu Gothic" w:eastAsia="Yu Gothic" w:hAnsi="Yu Gothic"/>
          <w:b w:val="false"/>
          <w:bCs w:val="false"/>
          <w:sz w:val="18"/>
          <w:szCs w:val="18"/>
        </w:rPr>
        <w:t xml:space="preserve">適用範囲：自社開発・取得特許、販売権・製造権等の無形資産、企業結合に伴うのれんの償却・減損。薬価改定・上市停止等による回収可能価額の変動。</w:t>
      </w:r>
    </w:p>
    <w:p>
      <w:pPr>
        <w:spacing w:after="60"/>
      </w:pPr>
      <w:r>
        <w:rPr>
          <w:rFonts w:ascii="Yu Gothic" w:cs="Yu Gothic" w:eastAsia="Yu Gothic" w:hAnsi="Yu Gothic"/>
          <w:b w:val="false"/>
          <w:bCs w:val="false"/>
          <w:sz w:val="18"/>
          <w:szCs w:val="18"/>
        </w:rPr>
        <w:t xml:space="preserve">現状（税務/旧基準）：税務基準では無形固定資産は法定耐用年数で定額償却、資産調整勘定（税務上ののれん）は5年均等損金。減損の概念なし。</w:t>
      </w:r>
    </w:p>
    <w:p>
      <w:pPr>
        <w:spacing w:after="60"/>
      </w:pPr>
      <w:r>
        <w:rPr>
          <w:rFonts w:ascii="Yu Gothic" w:cs="Yu Gothic" w:eastAsia="Yu Gothic" w:hAnsi="Yu Gothic"/>
          <w:b w:val="false"/>
          <w:bCs w:val="false"/>
          <w:sz w:val="18"/>
          <w:szCs w:val="18"/>
        </w:rPr>
        <w:t xml:space="preserve">新基準の処理：無形資産は経済的耐用年数で償却。のれんは企業結合会計基準第32項により20年以内の効果の及ぶ期間で定額償却。いずれも減損会計基準により、減損の兆候→割引前将来CFによる認識判定→回収可能価額（正味売却価額と使用価値のいずれか高い額）までの減損測定を行う。のれんは原則として関連する資産グループにのれんを加えた、より大きな単位で減損を判定（第131-2項）。</w:t>
      </w:r>
    </w:p>
    <w:p>
      <w:pPr>
        <w:spacing w:after="60"/>
      </w:pPr>
      <w:r>
        <w:rPr>
          <w:rFonts w:ascii="Yu Gothic" w:cs="Yu Gothic" w:eastAsia="Yu Gothic" w:hAnsi="Yu Gothic"/>
          <w:b w:val="false"/>
          <w:bCs w:val="false"/>
          <w:sz w:val="18"/>
          <w:szCs w:val="18"/>
        </w:rPr>
        <w:t xml:space="preserve">差異の要点：税務耐用年数（5年均等の資産調整勘定等）と会計上の経済的耐用年数の差。薬価改定・上市停止に伴う減損の兆候判定と回収可能価額の測定が新規。</w:t>
      </w:r>
    </w:p>
    <w:p>
      <w:pPr>
        <w:spacing w:after="60"/>
      </w:pPr>
      <w:r>
        <w:rPr>
          <w:rFonts w:ascii="Yu Gothic" w:cs="Yu Gothic" w:eastAsia="Yu Gothic" w:hAnsi="Yu Gothic"/>
          <w:b w:val="false"/>
          <w:bCs w:val="false"/>
          <w:sz w:val="18"/>
          <w:szCs w:val="18"/>
        </w:rPr>
        <w:t xml:space="preserve">会計方針・判断：特許は実質的有効期間（承認～特許失効前）、商標・販売権は契約更新見込を反映した耐用年数で償却。のれんは想定シナジー実現期間（目安10年、20年以内）で定額償却。薬価改定・上市停止時は減損の兆候があると判定し、回収可能価額まで減損する。</w:t>
      </w:r>
    </w:p>
    <w:p>
      <w:pPr>
        <w:spacing w:after="60"/>
      </w:pPr>
      <w:r>
        <w:rPr>
          <w:rFonts w:ascii="Yu Gothic" w:cs="Yu Gothic" w:eastAsia="Yu Gothic" w:hAnsi="Yu Gothic"/>
          <w:b w:val="false"/>
          <w:bCs w:val="false"/>
          <w:sz w:val="18"/>
          <w:szCs w:val="18"/>
        </w:rPr>
        <w:t xml:space="preserve">経過措置：累積的影響(期首利益剰余金で調整)／移行日に、税務基準と会計上の耐用年数差による償却差額を調整し、減損の兆候がある案件は回収可能価額まで減損する。</w:t>
      </w:r>
    </w:p>
    <w:p>
      <w:pPr>
        <w:spacing w:after="60"/>
      </w:pPr>
      <w:r>
        <w:rPr>
          <w:rFonts w:ascii="Yu Gothic" w:cs="Yu Gothic" w:eastAsia="Yu Gothic" w:hAnsi="Yu Gothic"/>
          <w:b w:val="false"/>
          <w:bCs w:val="false"/>
          <w:sz w:val="18"/>
          <w:szCs w:val="18"/>
        </w:rPr>
        <w:t xml:space="preserve">影響：[B/S] のれん：▲150百万円（減損）。特許権：▲50百万円相当（耐用年数短縮による償却累計の調整）。 [P/L] のれん減損損失：▲150百万円。特許の追加償却（過年度分）：▲50百万円。 [純資産] 利益剰余金：▲200百万円（税効果控除後 ≈ ▲139百万円）。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のれん減損損失の認識（開始仕訳）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利益剰余金（減損損失）</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のれん</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2018年買収A社：当初のれん500百万円。薬価改定（▲5.2%）で使用価値が350百万円に低下し減損150百万円。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特許の耐用年数短縮に伴う償却累計の遡及調整（開始仕訳）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利益剰余金（減価償却費）</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特許権（償却累計）</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糖尿病領域主力特許：税務10年→会計上の実効期間8年。過年度の償却超過50百万円を調整。</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61</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のれん減損150＋特許償却超過50＝200百万円×30.6%＝61.2百万円。いずれも税務上は当期損金不算入で将来減算一時差異。</w:t>
            </w:r>
          </w:p>
        </w:tc>
      </w:tr>
    </w:tbl>
    <w:p>
      <w:pPr>
        <w:spacing w:after="60"/>
      </w:pPr>
      <w:r>
        <w:rPr>
          <w:rFonts w:ascii="Yu Gothic" w:cs="Yu Gothic" w:eastAsia="Yu Gothic" w:hAnsi="Yu Gothic"/>
          <w:b w:val="false"/>
          <w:bCs w:val="false"/>
          <w:sz w:val="18"/>
          <w:szCs w:val="18"/>
        </w:rPr>
        <w:t xml:space="preserve">税効果・申告調整：のれん減損・特許の会計上の追加償却は税務上認められない（資産調整勘定は5年均等、無形資産は法定耐用年数）。将来減算一時差異（繰延税金資産61.2百万円）。別表四で加算、別表五（一）で残高管理。</w:t>
      </w:r>
    </w:p>
    <w:p>
      <w:pPr>
        <w:spacing w:after="60"/>
      </w:pPr>
      <w:r>
        <w:rPr>
          <w:rFonts w:ascii="Yu Gothic" w:cs="Yu Gothic" w:eastAsia="Yu Gothic" w:hAnsi="Yu Gothic"/>
          <w:b w:val="false"/>
          <w:bCs w:val="false"/>
          <w:sz w:val="18"/>
          <w:szCs w:val="18"/>
        </w:rPr>
        <w:t xml:space="preserve">開示・注記：重要な会計方針注記：『無形資産は経済的耐用年数で償却し、のれんは20年以内の期間で定額償却しています。減損の兆候がある場合は減損損失を計上しています。』減損損失注記：資産グループ、減損額、回収可能価額の算定方法（使用価値の割引率等）、原因（薬価改定等）を記載。</w:t>
      </w:r>
    </w:p>
    <w:p>
      <w:pPr>
        <w:spacing w:after="60"/>
      </w:pPr>
      <w:r>
        <w:rPr>
          <w:rFonts w:ascii="Yu Gothic" w:cs="Yu Gothic" w:eastAsia="Yu Gothic" w:hAnsi="Yu Gothic"/>
          <w:b w:val="false"/>
          <w:bCs w:val="false"/>
          <w:sz w:val="18"/>
          <w:szCs w:val="18"/>
        </w:rPr>
        <w:t xml:space="preserve">業務・システム：資産グループ別のCFモデルと薬価改定シナリオ分析、無形資産管理システムでの耐用年数・減損判定、のれんの償却・減損の自動計算。</w:t>
      </w:r>
    </w:p>
    <w:p>
      <w:pPr>
        <w:pStyle w:val="Heading3"/>
        <w:spacing w:after="60" w:before="200"/>
      </w:pPr>
      <w:r>
        <w:rPr>
          <w:rFonts w:ascii="Yu Gothic" w:cs="Yu Gothic" w:eastAsia="Yu Gothic" w:hAnsi="Yu Gothic"/>
          <w:b/>
          <w:bCs/>
        </w:rPr>
        <w:t xml:space="preserve">企業会計基準第9号「棚卸資産の評価に関する会計基準」（棚卸資産（使用期限ロット評価減・廃棄費用）・難易度中・影響額目安 800百万円）</w:t>
      </w:r>
    </w:p>
    <w:p>
      <w:pPr>
        <w:spacing w:after="60"/>
      </w:pPr>
      <w:r>
        <w:rPr>
          <w:rFonts w:ascii="Yu Gothic" w:cs="Yu Gothic" w:eastAsia="Yu Gothic" w:hAnsi="Yu Gothic"/>
          <w:b w:val="false"/>
          <w:bCs w:val="false"/>
          <w:sz w:val="18"/>
          <w:szCs w:val="18"/>
        </w:rPr>
        <w:t xml:space="preserve">適用範囲：医薬品の使用期限（有効期限）に基づくロット単位の収益性低下評価減と廃棄。期末の正味売却価額との比較。</w:t>
      </w:r>
    </w:p>
    <w:p>
      <w:pPr>
        <w:spacing w:after="60"/>
      </w:pPr>
      <w:r>
        <w:rPr>
          <w:rFonts w:ascii="Yu Gothic" w:cs="Yu Gothic" w:eastAsia="Yu Gothic" w:hAnsi="Yu Gothic"/>
          <w:b w:val="false"/>
          <w:bCs w:val="false"/>
          <w:sz w:val="18"/>
          <w:szCs w:val="18"/>
        </w:rPr>
        <w:t xml:space="preserve">現状（税務/旧基準）：税務基準では使用期限切れ等の物損・著しい陳腐化など評価損計上要件を満たす場合のみ損金。期末の精度が低く適切な評価減が計上されないことが多い。</w:t>
      </w:r>
    </w:p>
    <w:p>
      <w:pPr>
        <w:spacing w:after="60"/>
      </w:pPr>
      <w:r>
        <w:rPr>
          <w:rFonts w:ascii="Yu Gothic" w:cs="Yu Gothic" w:eastAsia="Yu Gothic" w:hAnsi="Yu Gothic"/>
          <w:b w:val="false"/>
          <w:bCs w:val="false"/>
          <w:sz w:val="18"/>
          <w:szCs w:val="18"/>
        </w:rPr>
        <w:t xml:space="preserve">新基準の処理：棚卸資産会計基準第7項により、期末の正味売却価額が取得原価より下落している場合は正味売却価額まで簿価を切り下げ、評価差額を売上原価（または特別損失）に計上。医薬品は使用期限が重要な収益性低下要因であり、ロット単位で残存使用期間・販売見込に基づき評価減する。トレーサビリティ確保のためロット別管理を行う。</w:t>
      </w:r>
    </w:p>
    <w:p>
      <w:pPr>
        <w:spacing w:after="60"/>
      </w:pPr>
      <w:r>
        <w:rPr>
          <w:rFonts w:ascii="Yu Gothic" w:cs="Yu Gothic" w:eastAsia="Yu Gothic" w:hAnsi="Yu Gothic"/>
          <w:b w:val="false"/>
          <w:bCs w:val="false"/>
          <w:sz w:val="18"/>
          <w:szCs w:val="18"/>
        </w:rPr>
        <w:t xml:space="preserve">差異の要点：在庫システムでの使用期限データ管理の精度、ロット別の正味売却価額算定、期末実地棚卸と帳簿の突合。</w:t>
      </w:r>
    </w:p>
    <w:p>
      <w:pPr>
        <w:spacing w:after="60"/>
      </w:pPr>
      <w:r>
        <w:rPr>
          <w:rFonts w:ascii="Yu Gothic" w:cs="Yu Gothic" w:eastAsia="Yu Gothic" w:hAnsi="Yu Gothic"/>
          <w:b w:val="false"/>
          <w:bCs w:val="false"/>
          <w:sz w:val="18"/>
          <w:szCs w:val="18"/>
        </w:rPr>
        <w:t xml:space="preserve">会計方針・判断：ロット管理で使用期限を一元管理し、(1)使用期限まで3ヶ月以内→50%、(2)1ヶ月以内→100%評価減（廃棄想定）、(3)薬価引下げ等で正味売却価額が原価未満→正味売却価額まで切下げ、(4)医療機関回転率低下分→個別判定。期末は一品（ロット）確認。</w:t>
      </w:r>
    </w:p>
    <w:p>
      <w:pPr>
        <w:spacing w:after="60"/>
      </w:pPr>
      <w:r>
        <w:rPr>
          <w:rFonts w:ascii="Yu Gothic" w:cs="Yu Gothic" w:eastAsia="Yu Gothic" w:hAnsi="Yu Gothic"/>
          <w:b w:val="false"/>
          <w:bCs w:val="false"/>
          <w:sz w:val="18"/>
          <w:szCs w:val="18"/>
        </w:rPr>
        <w:t xml:space="preserve">経過措置：累積的影響(期首利益剰余金で調整)／移行日に保有ロット一覧を取得し、各ロットの使用期限・正味売却価額に基づき評価減を一括計上。</w:t>
      </w:r>
    </w:p>
    <w:p>
      <w:pPr>
        <w:spacing w:after="60"/>
      </w:pPr>
      <w:r>
        <w:rPr>
          <w:rFonts w:ascii="Yu Gothic" w:cs="Yu Gothic" w:eastAsia="Yu Gothic" w:hAnsi="Yu Gothic"/>
          <w:b w:val="false"/>
          <w:bCs w:val="false"/>
          <w:sz w:val="18"/>
          <w:szCs w:val="18"/>
        </w:rPr>
        <w:t xml:space="preserve">影響：[B/S] 棚卸資産：▲800百万円（評価減）。 [P/L] 売上原価（棚卸評価損）：▲800百万円。 [純資産] 利益剰余金：▲800百万円（税効果控除後 ≈ ▲555百万円）。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使用期限3ヶ月以内ロットの評価減（開始仕訳）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利益剰余金（売上原価）</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棚卸資産</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簿価600百万円×50%＝300百万円。評価勘定でなく棚卸資産を直接減額（切放し法）。</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使用期限1ヶ月以内ロットの評価減（開始仕訳）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利益剰余金（売上原価）</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棚卸資産</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簿価200百万円×100%＝200百万円（廃棄想定）。</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薬価引下げによる正味売却価額下落分の切下げ（開始仕訳）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利益剰余金（売上原価）</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棚卸資産</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薬価引下げ対象品（原価1,000百万円）のうち正味売却価額が原価を下回る分300百万円。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245</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評価減800百万円×30.6%＝244.8百万円。確定決算主義では現実の廃棄・滅失時に損金のため将来減算一時差異。</w:t>
            </w:r>
          </w:p>
        </w:tc>
      </w:tr>
    </w:tbl>
    <w:p>
      <w:pPr>
        <w:spacing w:after="60"/>
      </w:pPr>
      <w:r>
        <w:rPr>
          <w:rFonts w:ascii="Yu Gothic" w:cs="Yu Gothic" w:eastAsia="Yu Gothic" w:hAnsi="Yu Gothic"/>
          <w:b w:val="false"/>
          <w:bCs w:val="false"/>
          <w:sz w:val="18"/>
          <w:szCs w:val="18"/>
        </w:rPr>
        <w:t xml:space="preserve">税効果・申告調整：会計上の評価損は税務上の評価損計上要件（物損・著しい陳腐化等）を満たさない限り損金不算入で将来減算一時差異（繰延税金資産244.8百万円）。現実の廃棄・滅失時に損金算入され解消。別表四で加算、別表五（一）で残高管理。</w:t>
      </w:r>
    </w:p>
    <w:p>
      <w:pPr>
        <w:spacing w:after="60"/>
      </w:pPr>
      <w:r>
        <w:rPr>
          <w:rFonts w:ascii="Yu Gothic" w:cs="Yu Gothic" w:eastAsia="Yu Gothic" w:hAnsi="Yu Gothic"/>
          <w:b w:val="false"/>
          <w:bCs w:val="false"/>
          <w:sz w:val="18"/>
          <w:szCs w:val="18"/>
        </w:rPr>
        <w:t xml:space="preserve">開示・注記：重要な会計方針注記：『棚卸資産は取得原価をもって貸借対照表価額とし、期末における正味売却価額が取得原価より下落している場合は正味売却価額まで切り下げています。使用期限の短いロット等は収益性の低下に応じて評価減しています。』棚卸資産注記：評価減の方法と当期計上額を記載。</w:t>
      </w:r>
    </w:p>
    <w:p>
      <w:pPr>
        <w:spacing w:after="60"/>
      </w:pPr>
      <w:r>
        <w:rPr>
          <w:rFonts w:ascii="Yu Gothic" w:cs="Yu Gothic" w:eastAsia="Yu Gothic" w:hAnsi="Yu Gothic"/>
          <w:b w:val="false"/>
          <w:bCs w:val="false"/>
          <w:sz w:val="18"/>
          <w:szCs w:val="18"/>
        </w:rPr>
        <w:t xml:space="preserve">業務・システム：在庫システムでのロット別使用期限管理、正味売却価額に基づく評価減の自動計算、期末実地棚卸の物理確認フロー。</w:t>
      </w:r>
    </w:p>
    <w:p>
      <w:pPr>
        <w:pStyle w:val="Heading3"/>
        <w:spacing w:after="60" w:before="200"/>
      </w:pPr>
      <w:r>
        <w:rPr>
          <w:rFonts w:ascii="Yu Gothic" w:cs="Yu Gothic" w:eastAsia="Yu Gothic" w:hAnsi="Yu Gothic"/>
          <w:b/>
          <w:bCs/>
        </w:rPr>
        <w:t xml:space="preserve">企業会計基準第29号「収益認識に関する会計基準」（ライセンス・第63項／一時点・一定期間）（共同開発・導出/導入のマイルストン収益とライセンス・難易度高・影響額目安 300百万円）</w:t>
      </w:r>
    </w:p>
    <w:p>
      <w:pPr>
        <w:spacing w:after="60"/>
      </w:pPr>
      <w:r>
        <w:rPr>
          <w:rFonts w:ascii="Yu Gothic" w:cs="Yu Gothic" w:eastAsia="Yu Gothic" w:hAnsi="Yu Gothic"/>
          <w:b w:val="false"/>
          <w:bCs w:val="false"/>
          <w:sz w:val="18"/>
          <w:szCs w:val="18"/>
        </w:rPr>
        <w:t xml:space="preserve">適用範囲：自社開発品の他社への導出（ライセンスアウト）に伴う契約一時金、開発・販売マイルストン、ロイヤルティ収益の認識。導入（ライセンスイン）品の前払一時金の処理。</w:t>
      </w:r>
    </w:p>
    <w:p>
      <w:pPr>
        <w:spacing w:after="60"/>
      </w:pPr>
      <w:r>
        <w:rPr>
          <w:rFonts w:ascii="Yu Gothic" w:cs="Yu Gothic" w:eastAsia="Yu Gothic" w:hAnsi="Yu Gothic"/>
          <w:b w:val="false"/>
          <w:bCs w:val="false"/>
          <w:sz w:val="18"/>
          <w:szCs w:val="18"/>
        </w:rPr>
        <w:t xml:space="preserve">現状（税務/旧基準）：税務基準では契約一時金・マイルストンを入金時または通知時に益金算入。ロイヤルティは支払期日到来時に益金。ライセンスの性質（アクセス権／使用権）の区別なし。</w:t>
      </w:r>
    </w:p>
    <w:p>
      <w:pPr>
        <w:spacing w:after="60"/>
      </w:pPr>
      <w:r>
        <w:rPr>
          <w:rFonts w:ascii="Yu Gothic" w:cs="Yu Gothic" w:eastAsia="Yu Gothic" w:hAnsi="Yu Gothic"/>
          <w:b w:val="false"/>
          <w:bCs w:val="false"/>
          <w:sz w:val="18"/>
          <w:szCs w:val="18"/>
        </w:rPr>
        <w:t xml:space="preserve">新基準の処理：第29号適用指針では、知的財産のライセンスが『使用権（一時点）』か『アクセス権（一定期間）』かを判定し収益認識時点を決定。契約一時金は履行義務への配分後、当該義務の充足に応じて認識。開発マイルストンは変動対価として見積りの制限（達成可能性が高い時点まで認識しない）を適用。売上高ベースのロイヤルティは適用指針第67項の例外により、後の売上が生じた時点（または履行義務充足時）に認識。導入品の前払一時金は無形資産または前払費用として計上し、便益享受期間にわたり費用化。</w:t>
      </w:r>
    </w:p>
    <w:p>
      <w:pPr>
        <w:spacing w:after="60"/>
      </w:pPr>
      <w:r>
        <w:rPr>
          <w:rFonts w:ascii="Yu Gothic" w:cs="Yu Gothic" w:eastAsia="Yu Gothic" w:hAnsi="Yu Gothic"/>
          <w:b w:val="false"/>
          <w:bCs w:val="false"/>
          <w:sz w:val="18"/>
          <w:szCs w:val="18"/>
        </w:rPr>
        <w:t xml:space="preserve">差異の要点：ライセンスのアクセス権／使用権判定、マイルストンへの見積りの制限の適用、ロイヤルティの売上高基準例外の適用、導入一時金の資産計上と償却。</w:t>
      </w:r>
    </w:p>
    <w:p>
      <w:pPr>
        <w:spacing w:after="60"/>
      </w:pPr>
      <w:r>
        <w:rPr>
          <w:rFonts w:ascii="Yu Gothic" w:cs="Yu Gothic" w:eastAsia="Yu Gothic" w:hAnsi="Yu Gothic"/>
          <w:b w:val="false"/>
          <w:bCs w:val="false"/>
          <w:sz w:val="18"/>
          <w:szCs w:val="18"/>
        </w:rPr>
        <w:t xml:space="preserve">会計方針・判断：導出契約はライセンスの性質を判定し、契約一時金は履行義務充足に応じて認識。開発マイルストンは達成可能性が高くなるまで認識せず、売上高ロイヤルティは売上発生時に認識する。導入一時金は無形資産計上し便益享受期間で償却。</w:t>
      </w:r>
    </w:p>
    <w:p>
      <w:pPr>
        <w:spacing w:after="60"/>
      </w:pPr>
      <w:r>
        <w:rPr>
          <w:rFonts w:ascii="Yu Gothic" w:cs="Yu Gothic" w:eastAsia="Yu Gothic" w:hAnsi="Yu Gothic"/>
          <w:b w:val="false"/>
          <w:bCs w:val="false"/>
          <w:sz w:val="18"/>
          <w:szCs w:val="18"/>
        </w:rPr>
        <w:t xml:space="preserve">経過措置：累積的影響(期首利益剰余金で調整)／移行日に、入金時に一括益金算入していた契約一時金のうち未充足の履行義務分を契約負債に振替。達成可能性が低いマイルストンの先行認識分を取消。導入一時金を資産化。</w:t>
      </w:r>
    </w:p>
    <w:p>
      <w:pPr>
        <w:spacing w:after="60"/>
      </w:pPr>
      <w:r>
        <w:rPr>
          <w:rFonts w:ascii="Yu Gothic" w:cs="Yu Gothic" w:eastAsia="Yu Gothic" w:hAnsi="Yu Gothic"/>
          <w:b w:val="false"/>
          <w:bCs w:val="false"/>
          <w:sz w:val="18"/>
          <w:szCs w:val="18"/>
        </w:rPr>
        <w:t xml:space="preserve">影響：[B/S] 契約負債（導出一時金の未充足分）：＋300百万円。無形資産（導入ライセンス）：＋120百万円。 [P/L] 売上高：▲300百万円（未充足分の繰延）。導入一時金の当期償却：▲20百万円。 [純資産] 利益剰余金：▲320百万円（税効果控除後 ≈ ▲222百万円）。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導出契約一時金の未充足分を契約負債へ繰延（開始仕訳）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利益剰余金（売上高）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契約負債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新薬導出時の契約一時金のうち、開発支援等の未充足履行義務に配分される300百万円を繰延。</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導入一時金の資産化（開始仕訳）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無形資産（導入ライセンス）</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利益剰余金（研究開発費等）</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他社品導入時の前払一時金120百万円を無形資産化（便益享受期間6年）。</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導入一時金の当期償却（開始仕訳・移行日までの経過分）</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利益剰余金（償却費）</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無形資産（導入ライセンス）</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120百万円÷6年＝20百万円/年の経過分。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61</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純額の将来減算一時差異200百万円（契約負債300＋導入償却20▲導入資産化120）×30.6%＝61.2百万円。</w:t>
            </w:r>
          </w:p>
        </w:tc>
      </w:tr>
    </w:tbl>
    <w:p>
      <w:pPr>
        <w:spacing w:after="60"/>
      </w:pPr>
      <w:r>
        <w:rPr>
          <w:rFonts w:ascii="Yu Gothic" w:cs="Yu Gothic" w:eastAsia="Yu Gothic" w:hAnsi="Yu Gothic"/>
          <w:b w:val="false"/>
          <w:bCs w:val="false"/>
          <w:sz w:val="18"/>
          <w:szCs w:val="18"/>
        </w:rPr>
        <w:t xml:space="preserve">税効果・申告調整：契約一時金は税務上入金時に益金算入済のため、会計上の契約負債繰延は将来減算一時差異。マイルストンの認識時期差・導入一時金の資産化／償却差も一時差異。純額の繰延税金資産61.2百万円。別表四・五（一）で追跡。</w:t>
      </w:r>
    </w:p>
    <w:p>
      <w:pPr>
        <w:spacing w:after="60"/>
      </w:pPr>
      <w:r>
        <w:rPr>
          <w:rFonts w:ascii="Yu Gothic" w:cs="Yu Gothic" w:eastAsia="Yu Gothic" w:hAnsi="Yu Gothic"/>
          <w:b w:val="false"/>
          <w:bCs w:val="false"/>
          <w:sz w:val="18"/>
          <w:szCs w:val="18"/>
        </w:rPr>
        <w:t xml:space="preserve">開示・注記：重要な会計方針注記：『ライセンス契約は知的財産へのアクセス権／使用権の別を判定して収益認識時点を決定しています。開発マイルストンは変動対価として見積りの制限を適用し、売上高ベースのロイヤルティは売上発生時に認識しています。』収益認識注記：契約負債の残高・増減、残存履行義務に配分した取引価格を記載。</w:t>
      </w:r>
    </w:p>
    <w:p>
      <w:pPr>
        <w:spacing w:after="60"/>
      </w:pPr>
      <w:r>
        <w:rPr>
          <w:rFonts w:ascii="Yu Gothic" w:cs="Yu Gothic" w:eastAsia="Yu Gothic" w:hAnsi="Yu Gothic"/>
          <w:b w:val="false"/>
          <w:bCs w:val="false"/>
          <w:sz w:val="18"/>
          <w:szCs w:val="18"/>
        </w:rPr>
        <w:t xml:space="preserve">業務・システム：提携契約管理（履行義務・マイルストン・ロイヤルティ条項）、契約負債の充足進捗管理、導入ライセンスの償却管理。</w:t>
      </w:r>
    </w:p>
    <w:p>
      <w:pPr>
        <w:pStyle w:val="Heading3"/>
        <w:spacing w:after="60" w:before="200"/>
      </w:pPr>
      <w:r>
        <w:rPr>
          <w:rFonts w:ascii="Yu Gothic" w:cs="Yu Gothic" w:eastAsia="Yu Gothic" w:hAnsi="Yu Gothic"/>
          <w:b/>
          <w:bCs/>
        </w:rPr>
        <w:t xml:space="preserve">企業会計基準第13号「リース取引に関する会計基準」（現行）及び第34号「リースに関する会計基準」（2024年公表、2027年4月1日以後開始事業年度より強制適用、早期適用可）（リース（製造設備・実質リース）・難易度中・影響額目安 1000百万円）</w:t>
      </w:r>
    </w:p>
    <w:p>
      <w:pPr>
        <w:spacing w:after="60"/>
      </w:pPr>
      <w:r>
        <w:rPr>
          <w:rFonts w:ascii="Yu Gothic" w:cs="Yu Gothic" w:eastAsia="Yu Gothic" w:hAnsi="Yu Gothic"/>
          <w:b w:val="false"/>
          <w:bCs w:val="false"/>
          <w:sz w:val="18"/>
          <w:szCs w:val="18"/>
        </w:rPr>
        <w:t xml:space="preserve">適用範囲：医薬品製造設備等のリース取引の分類・オンバランス。現行第13号下のファイナンス・リース判定と、第34号導入による借手の使用権資産・リース負債の原則オンバランス化への対応。</w:t>
      </w:r>
    </w:p>
    <w:p>
      <w:pPr>
        <w:spacing w:after="60"/>
      </w:pPr>
      <w:r>
        <w:rPr>
          <w:rFonts w:ascii="Yu Gothic" w:cs="Yu Gothic" w:eastAsia="Yu Gothic" w:hAnsi="Yu Gothic"/>
          <w:b w:val="false"/>
          <w:bCs w:val="false"/>
          <w:sz w:val="18"/>
          <w:szCs w:val="18"/>
        </w:rPr>
        <w:t xml:space="preserve">現状（税務/旧基準）：税務基準では所有権移転外ファイナンス・リースを含め賃貸借処理（リース料を賃借料として損金）するケースが多く、実質リース（契約に明示されないリースを含む取引）の判定がない。</w:t>
      </w:r>
    </w:p>
    <w:p>
      <w:pPr>
        <w:spacing w:after="60"/>
      </w:pPr>
      <w:r>
        <w:rPr>
          <w:rFonts w:ascii="Yu Gothic" w:cs="Yu Gothic" w:eastAsia="Yu Gothic" w:hAnsi="Yu Gothic"/>
          <w:b w:val="false"/>
          <w:bCs w:val="false"/>
          <w:sz w:val="18"/>
          <w:szCs w:val="18"/>
        </w:rPr>
        <w:t xml:space="preserve">新基準の処理：現行第13号ではファイナンス・リースをリース資産・リース負債として計上（所有権移転外は利子込み法等の例外あり）。新リース第34号では、借手は原則として全てのリース（短期・少額の免除を除く）について使用権資産とリース負債を計上し、契約にリースが含まれるか（特定された資産の使用を支配する権利の移転）を判定する。使用権資産は減価償却、リース負債は利息法で利息と元本に区分する。</w:t>
      </w:r>
    </w:p>
    <w:p>
      <w:pPr>
        <w:spacing w:after="60"/>
      </w:pPr>
      <w:r>
        <w:rPr>
          <w:rFonts w:ascii="Yu Gothic" w:cs="Yu Gothic" w:eastAsia="Yu Gothic" w:hAnsi="Yu Gothic"/>
          <w:b w:val="false"/>
          <w:bCs w:val="false"/>
          <w:sz w:val="18"/>
          <w:szCs w:val="18"/>
        </w:rPr>
        <w:t xml:space="preserve">差異の要点：オペレーティング・リースおよび契約に明示されないリース要素のオンバランス化、割引率（追加借入利子率）の設定、第34号適用に向けた契約棚卸し。</w:t>
      </w:r>
    </w:p>
    <w:p>
      <w:pPr>
        <w:spacing w:after="60"/>
      </w:pPr>
      <w:r>
        <w:rPr>
          <w:rFonts w:ascii="Yu Gothic" w:cs="Yu Gothic" w:eastAsia="Yu Gothic" w:hAnsi="Yu Gothic"/>
          <w:b w:val="false"/>
          <w:bCs w:val="false"/>
          <w:sz w:val="18"/>
          <w:szCs w:val="18"/>
        </w:rPr>
        <w:t xml:space="preserve">会計方針・判断：現行第13号下では(1)経済的耐用年数の概ね75%以上、または(2)解約不能リース料総額の現在価値が見積現金購入価額の概ね90%以上をファイナンス・リースと判定。第34号は2027年4月適用に向け契約を棚卸しし、移行日からの早期適用も検討。割引率は追加借入利子率を採用。</w:t>
      </w:r>
    </w:p>
    <w:p>
      <w:pPr>
        <w:spacing w:after="60"/>
      </w:pPr>
      <w:r>
        <w:rPr>
          <w:rFonts w:ascii="Yu Gothic" w:cs="Yu Gothic" w:eastAsia="Yu Gothic" w:hAnsi="Yu Gothic"/>
          <w:b w:val="false"/>
          <w:bCs w:val="false"/>
          <w:sz w:val="18"/>
          <w:szCs w:val="18"/>
        </w:rPr>
        <w:t xml:space="preserve">経過措置：累積的影響(期首利益剰余金で調整)／既存リース契約を再分類し、賃貸借処理していたファイナンス・リース（及び実質リース）について使用権資産・リース負債を移行日に認識。第34号早期適用時は経過措置（リース負債を残存リース料の現在価値で測定し、使用権資産を同額または遡及計算）を選択。</w:t>
      </w:r>
    </w:p>
    <w:p>
      <w:pPr>
        <w:spacing w:after="60"/>
      </w:pPr>
      <w:r>
        <w:rPr>
          <w:rFonts w:ascii="Yu Gothic" w:cs="Yu Gothic" w:eastAsia="Yu Gothic" w:hAnsi="Yu Gothic"/>
          <w:b w:val="false"/>
          <w:bCs w:val="false"/>
          <w:sz w:val="18"/>
          <w:szCs w:val="18"/>
        </w:rPr>
        <w:t xml:space="preserve">影響：[B/S] 使用権資産（リース資産・製造設備）：＋1,000百万円。リース負債（流動）：＋200百万円／（非流動）：＋800百万円。 [P/L] 減価償却費：＋150百万円。支払利息：＋50百万円。一方、従来の支払リース料（賃借料）：▲180百万円が消える。純影響：当期利益▲20百万円程度。 [純資産] 利益剰余金：▲20百万円（税効果控除後 ≈ ▲14百万円）。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賃貸借処理リースの使用権資産・リース負債計上（開始仕訳）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使用権資産（製造設備）</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リース負債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1000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2018年開始15年契約の専用製造ライン。移行日の残存リース料の現在価値1,000百万円（流動200／非流動800）。</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移行日までの償却・利息と既払リース料の差額調整（開始仕訳）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使用権資産（減価償却累計）</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賃貸借処理との差額（減価償却＋利息▲既計上賃借料）の累積純額20百万円を期首利益剰余金で調整。</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6</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会計と税務（賃貸借＝リース料損金）の費用化時期差による純額の将来減算一時差異20百万円×30.6%＝6.1百万円。</w:t>
            </w:r>
          </w:p>
        </w:tc>
      </w:tr>
    </w:tbl>
    <w:p>
      <w:pPr>
        <w:spacing w:after="60"/>
      </w:pPr>
      <w:r>
        <w:rPr>
          <w:rFonts w:ascii="Yu Gothic" w:cs="Yu Gothic" w:eastAsia="Yu Gothic" w:hAnsi="Yu Gothic"/>
          <w:b w:val="false"/>
          <w:bCs w:val="false"/>
          <w:sz w:val="18"/>
          <w:szCs w:val="18"/>
        </w:rPr>
        <w:t xml:space="preserve">税効果・申告調整：会計上のオンバランス（減価償却＋利息）と税務上の賃貸借（リース料損金）の費用化時期差により一時差異が生じる（純額の繰延税金資産6.1百万円）。所有権移転外リースの税務取扱いとの差を別表四・五（一）で追跡。</w:t>
      </w:r>
    </w:p>
    <w:p>
      <w:pPr>
        <w:spacing w:after="60"/>
      </w:pPr>
      <w:r>
        <w:rPr>
          <w:rFonts w:ascii="Yu Gothic" w:cs="Yu Gothic" w:eastAsia="Yu Gothic" w:hAnsi="Yu Gothic"/>
          <w:b w:val="false"/>
          <w:bCs w:val="false"/>
          <w:sz w:val="18"/>
          <w:szCs w:val="18"/>
        </w:rPr>
        <w:t xml:space="preserve">開示・注記：重要な会計方針注記：『リース取引について、現行基準ではファイナンス・リースを資産・負債計上し、2027年4月適用の新リース基準に向け契約の棚卸しを進めています。割引率は追加借入利子率を用いています。』リース注記：使用権資産の種類別残高、リース負債の返済予定、加重平均割引率を記載。</w:t>
      </w:r>
    </w:p>
    <w:p>
      <w:pPr>
        <w:spacing w:after="60"/>
      </w:pPr>
      <w:r>
        <w:rPr>
          <w:rFonts w:ascii="Yu Gothic" w:cs="Yu Gothic" w:eastAsia="Yu Gothic" w:hAnsi="Yu Gothic"/>
          <w:b w:val="false"/>
          <w:bCs w:val="false"/>
          <w:sz w:val="18"/>
          <w:szCs w:val="18"/>
        </w:rPr>
        <w:t xml:space="preserve">業務・システム：リース契約DB（期間・支払額・割引率）、ファイナンス・リース判定／第34号のリース判定ツール、使用権資産の減価償却とリース負債の利息法計算。</w:t>
      </w:r>
    </w:p>
    <w:p>
      <w:pPr>
        <w:pStyle w:val="Heading3"/>
        <w:spacing w:after="60" w:before="200"/>
      </w:pPr>
      <w:r>
        <w:rPr>
          <w:rFonts w:ascii="Yu Gothic" w:cs="Yu Gothic" w:eastAsia="Yu Gothic" w:hAnsi="Yu Gothic"/>
          <w:b/>
          <w:bCs/>
        </w:rPr>
        <w:t xml:space="preserve">企業会計基準第26号「退職給付に関する会計基準」・同適用指針第25号（退職給付債務・難易度中・影響額目安 300百万円）</w:t>
      </w:r>
    </w:p>
    <w:p>
      <w:pPr>
        <w:spacing w:after="60"/>
      </w:pPr>
      <w:r>
        <w:rPr>
          <w:rFonts w:ascii="Yu Gothic" w:cs="Yu Gothic" w:eastAsia="Yu Gothic" w:hAnsi="Yu Gothic"/>
          <w:b w:val="false"/>
          <w:bCs w:val="false"/>
          <w:sz w:val="18"/>
          <w:szCs w:val="18"/>
        </w:rPr>
        <w:t xml:space="preserve">適用範囲：確定給付制度（退職一時金・確定給付企業年金）の退職給付債務（PBO）・年金資産・数理計算上の差異・未認識項目の処理。</w:t>
      </w:r>
    </w:p>
    <w:p>
      <w:pPr>
        <w:spacing w:after="60"/>
      </w:pPr>
      <w:r>
        <w:rPr>
          <w:rFonts w:ascii="Yu Gothic" w:cs="Yu Gothic" w:eastAsia="Yu Gothic" w:hAnsi="Yu Gothic"/>
          <w:b w:val="false"/>
          <w:bCs w:val="false"/>
          <w:sz w:val="18"/>
          <w:szCs w:val="18"/>
        </w:rPr>
        <w:t xml:space="preserve">現状（税務/旧基準）：税務基準では退職給付引当金は損金不算入が原則で、税法上は支出時（年金掛金拠出時・退職金支払時）に損金。会計上の精緻な債務測定がない。</w:t>
      </w:r>
    </w:p>
    <w:p>
      <w:pPr>
        <w:spacing w:after="60"/>
      </w:pPr>
      <w:r>
        <w:rPr>
          <w:rFonts w:ascii="Yu Gothic" w:cs="Yu Gothic" w:eastAsia="Yu Gothic" w:hAnsi="Yu Gothic"/>
          <w:b w:val="false"/>
          <w:bCs w:val="false"/>
          <w:sz w:val="18"/>
          <w:szCs w:val="18"/>
        </w:rPr>
        <w:t xml:space="preserve">新基準の処理：第26号ではPBOを予測単位積増方式で測定し年金資産を時価評価。勤務費用・利息費用・期待運用収益を純額で退職給付費用に計上。数理計算上の差異・過去勤務費用は平均残存勤務期間以内の一定年数で規則的に費用処理し、連結では未認識項目を即時にその他の包括利益（退職給付に係る調整額）として認識し純資産に計上する。</w:t>
      </w:r>
    </w:p>
    <w:p>
      <w:pPr>
        <w:spacing w:after="60"/>
      </w:pPr>
      <w:r>
        <w:rPr>
          <w:rFonts w:ascii="Yu Gothic" w:cs="Yu Gothic" w:eastAsia="Yu Gothic" w:hAnsi="Yu Gothic"/>
          <w:b w:val="false"/>
          <w:bCs w:val="false"/>
          <w:sz w:val="18"/>
          <w:szCs w:val="18"/>
        </w:rPr>
        <w:t xml:space="preserve">差異の要点：税務基準の簡便的引当から精緻なPBO測定への移行による負債の増加、割引率・予想昇給率等の数理計算前提の設定、数理差異の費用処理と（連結での）OCI即時認識。</w:t>
      </w:r>
    </w:p>
    <w:p>
      <w:pPr>
        <w:spacing w:after="60"/>
      </w:pPr>
      <w:r>
        <w:rPr>
          <w:rFonts w:ascii="Yu Gothic" w:cs="Yu Gothic" w:eastAsia="Yu Gothic" w:hAnsi="Yu Gothic"/>
          <w:b w:val="false"/>
          <w:bCs w:val="false"/>
          <w:sz w:val="18"/>
          <w:szCs w:val="18"/>
        </w:rPr>
        <w:t xml:space="preserve">会計方針・判断：PBOは予測単位積増方式で測定し年金資産を時価評価。数理計算上の差異は発生年度の翌期から平均残存勤務期間（10年）で定額費用処理。連結では未認識数理差異を退職給付に係る調整額（OCI）として認識する。</w:t>
      </w:r>
    </w:p>
    <w:p>
      <w:pPr>
        <w:spacing w:after="60"/>
      </w:pPr>
      <w:r>
        <w:rPr>
          <w:rFonts w:ascii="Yu Gothic" w:cs="Yu Gothic" w:eastAsia="Yu Gothic" w:hAnsi="Yu Gothic"/>
          <w:b w:val="false"/>
          <w:bCs w:val="false"/>
          <w:sz w:val="18"/>
          <w:szCs w:val="18"/>
        </w:rPr>
        <w:t xml:space="preserve">経過措置：累積的影響(期首利益剰余金で調整)／移行日にPBOと年金資産時価を確定し、積立状況に基づく退職給付に係る負債を計上。未認識数理差異は連結上OCIに計上、個別上は遅延認識。</w:t>
      </w:r>
    </w:p>
    <w:p>
      <w:pPr>
        <w:spacing w:after="60"/>
      </w:pPr>
      <w:r>
        <w:rPr>
          <w:rFonts w:ascii="Yu Gothic" w:cs="Yu Gothic" w:eastAsia="Yu Gothic" w:hAnsi="Yu Gothic"/>
          <w:b w:val="false"/>
          <w:bCs w:val="false"/>
          <w:sz w:val="18"/>
          <w:szCs w:val="18"/>
        </w:rPr>
        <w:t xml:space="preserve">影響：[B/S] 退職給付に係る負債：＋300百万円（PBO8,000▲年金資産7,700）。退職給付に係る調整累計額（OCI）：▲150百万円（未認識数理差異）。 [P/L] 退職給付費用が勤務費用・利息費用の精緻化で増加。当期の数理差異償却：▲15百万円程度。 [純資産] 利益剰余金：▲300百万円相当（負債計上分、税効果控除後 ≈ ▲208百万円）。未認識数理差異はOCI（その他の包括利益累計額）で別建て。</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退職給付に係る負債の認識（開始仕訳）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利益剰余金（退職給付費用）</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退職給付に係る負債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300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PBO8,000百万円▲年金資産時価7,700百万円＝積立不足300百万円。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未認識数理差異のOCI計上（連結・開始仕訳）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退職給付に係る調整累計額（OCI）</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退職給付に係る負債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過年度の利率変動・人員変動による未認識数理差異150百万円を連結上OCIで認識（平均残存勤務期間10年で費用化）。</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利益剰余金／退職給付に係る調整累計額（法人税等調整額）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138</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負債計上300＋OCI数理差異150＝450百万円×30.6%＝137.7百万円。退職給付引当金は税務上損金不算入で将来減算一時差異。</w:t>
            </w:r>
          </w:p>
        </w:tc>
      </w:tr>
    </w:tbl>
    <w:p>
      <w:pPr>
        <w:spacing w:after="60"/>
      </w:pPr>
      <w:r>
        <w:rPr>
          <w:rFonts w:ascii="Yu Gothic" w:cs="Yu Gothic" w:eastAsia="Yu Gothic" w:hAnsi="Yu Gothic"/>
          <w:b w:val="false"/>
          <w:bCs w:val="false"/>
          <w:sz w:val="18"/>
          <w:szCs w:val="18"/>
        </w:rPr>
        <w:t xml:space="preserve">税効果・申告調整：退職給付に係る負債（引当金）は税務上損金不算入で、掛金拠出・退職金支払時に損金算入されるため将来減算一時差異（繰延税金資産137.7百万円）。OCI計上の数理差異に係る税効果はOCIに直接計上。別表四で『退職給付引当金繰入超過額（加算）』、別表五（一）で残高管理。</w:t>
      </w:r>
    </w:p>
    <w:p>
      <w:pPr>
        <w:spacing w:after="60"/>
      </w:pPr>
      <w:r>
        <w:rPr>
          <w:rFonts w:ascii="Yu Gothic" w:cs="Yu Gothic" w:eastAsia="Yu Gothic" w:hAnsi="Yu Gothic"/>
          <w:b w:val="false"/>
          <w:bCs w:val="false"/>
          <w:sz w:val="18"/>
          <w:szCs w:val="18"/>
        </w:rPr>
        <w:t xml:space="preserve">開示・注記：重要な会計方針注記：『退職給付債務は予測単位積増方式により計算し、数理計算上の差異は平均残存勤務期間以内の10年で定額費用処理しています。』退職給付注記：PBO・年金資産・積立状況の調整表、退職給付費用の内訳、割引率・予想昇給率等の主要な数理計算前提、未認識項目（OCI）を記載。</w:t>
      </w:r>
    </w:p>
    <w:p>
      <w:pPr>
        <w:spacing w:after="60"/>
      </w:pPr>
      <w:r>
        <w:rPr>
          <w:rFonts w:ascii="Yu Gothic" w:cs="Yu Gothic" w:eastAsia="Yu Gothic" w:hAnsi="Yu Gothic"/>
          <w:b w:val="false"/>
          <w:bCs w:val="false"/>
          <w:sz w:val="18"/>
          <w:szCs w:val="18"/>
        </w:rPr>
        <w:t xml:space="preserve">業務・システム：年金数理人とのPBO評価連携、数理差異の自動計算と費用化・OCI区分、割引率・予想昇給率の定期見直し、従業員マスタ連携。</w:t>
      </w:r>
    </w:p>
    <w:p>
      <w:pPr>
        <w:pStyle w:val="Heading3"/>
        <w:spacing w:after="60" w:before="200"/>
      </w:pPr>
      <w:r>
        <w:rPr>
          <w:rFonts w:ascii="Yu Gothic" w:cs="Yu Gothic" w:eastAsia="Yu Gothic" w:hAnsi="Yu Gothic"/>
          <w:b/>
          <w:bCs/>
        </w:rPr>
        <w:t xml:space="preserve">企業会計基準第10号「金融商品に関する会計基準」・同実務指針、外貨建取引等会計処理基準（金融商品（長期債権の現在価値・貸倒見積・外貨換算）・難易度中・影響額目安 50百万円）</w:t>
      </w:r>
    </w:p>
    <w:p>
      <w:pPr>
        <w:spacing w:after="60"/>
      </w:pPr>
      <w:r>
        <w:rPr>
          <w:rFonts w:ascii="Yu Gothic" w:cs="Yu Gothic" w:eastAsia="Yu Gothic" w:hAnsi="Yu Gothic"/>
          <w:b w:val="false"/>
          <w:bCs w:val="false"/>
          <w:sz w:val="18"/>
          <w:szCs w:val="18"/>
        </w:rPr>
        <w:t xml:space="preserve">適用範囲：医薬品販売債権、長期営業債権（導出マイルストン債権等）の分類・測定・貸倒見積、外貨建売上債権の換算。</w:t>
      </w:r>
    </w:p>
    <w:p>
      <w:pPr>
        <w:spacing w:after="60"/>
      </w:pPr>
      <w:r>
        <w:rPr>
          <w:rFonts w:ascii="Yu Gothic" w:cs="Yu Gothic" w:eastAsia="Yu Gothic" w:hAnsi="Yu Gothic"/>
          <w:b w:val="false"/>
          <w:bCs w:val="false"/>
          <w:sz w:val="18"/>
          <w:szCs w:val="18"/>
        </w:rPr>
        <w:t xml:space="preserve">現状（税務/旧基準）：税務基準では債権は額面計上、貸倒引当金は法人税法上の繰入限度額（一括評価＝法定繰入率／個別評価）。外貨建債権は法人税法上の換算方法（原則期末換算）で為替差損益を計上。</w:t>
      </w:r>
    </w:p>
    <w:p>
      <w:pPr>
        <w:spacing w:after="60"/>
      </w:pPr>
      <w:r>
        <w:rPr>
          <w:rFonts w:ascii="Yu Gothic" w:cs="Yu Gothic" w:eastAsia="Yu Gothic" w:hAnsi="Yu Gothic"/>
          <w:b w:val="false"/>
          <w:bCs w:val="false"/>
          <w:sz w:val="18"/>
          <w:szCs w:val="18"/>
        </w:rPr>
        <w:t xml:space="preserve">新基準の処理：第10号では債権を取得原価（または償却原価法）で測定し、重要な金利調整部分を含む長期債権は実効金利による償却原価で評価。貸倒見積高は債権を一般・貸倒懸念・破産更生に区分し、一般債権は貸倒実績率法、貸倒懸念債権は財務内容評価法／キャッシュ・フロー見積法で算定。外貨建売上債権は決算日の為替相場で換算し、為替差損益は原則として営業外損益に計上する（為替予約等のヘッジ会計適用時を除く）。</w:t>
      </w:r>
    </w:p>
    <w:p>
      <w:pPr>
        <w:spacing w:after="60"/>
      </w:pPr>
      <w:r>
        <w:rPr>
          <w:rFonts w:ascii="Yu Gothic" w:cs="Yu Gothic" w:eastAsia="Yu Gothic" w:hAnsi="Yu Gothic"/>
          <w:b w:val="false"/>
          <w:bCs w:val="false"/>
          <w:sz w:val="18"/>
          <w:szCs w:val="18"/>
        </w:rPr>
        <w:t xml:space="preserve">差異の要点：長期営業債権の償却原価（現在価値）測定と実効金利の設定、貸倒見積の区分別算定（実績率法・CF見積法）への変更、外貨換算と為替差損益の損益計上（日本基準では原則P/L、IFRS等のOCIではない点に留意）。</w:t>
      </w:r>
    </w:p>
    <w:p>
      <w:pPr>
        <w:spacing w:after="60"/>
      </w:pPr>
      <w:r>
        <w:rPr>
          <w:rFonts w:ascii="Yu Gothic" w:cs="Yu Gothic" w:eastAsia="Yu Gothic" w:hAnsi="Yu Gothic"/>
          <w:b w:val="false"/>
          <w:bCs w:val="false"/>
          <w:sz w:val="18"/>
          <w:szCs w:val="18"/>
        </w:rPr>
        <w:t xml:space="preserve">会計方針・判断：重要な金利調整を含む長期営業債権は実効金利による償却原価で測定。貸倒見積高は債権区分別（一般＝貸倒実績率法、懸念＝財務内容評価法／CF見積法）で算定。外貨建売上債権は決算日レートで換算し為替差損益を営業外損益に計上する。</w:t>
      </w:r>
    </w:p>
    <w:p>
      <w:pPr>
        <w:spacing w:after="60"/>
      </w:pPr>
      <w:r>
        <w:rPr>
          <w:rFonts w:ascii="Yu Gothic" w:cs="Yu Gothic" w:eastAsia="Yu Gothic" w:hAnsi="Yu Gothic"/>
          <w:b w:val="false"/>
          <w:bCs w:val="false"/>
          <w:sz w:val="18"/>
          <w:szCs w:val="18"/>
        </w:rPr>
        <w:t xml:space="preserve">経過措置：累積的影響(期首利益剰余金で調整)／移行日に、長期営業債権を実効金利で割り引き償却原価に修正。貸倒見積を区分別算定に変更。外貨建債権を決算日レートで再換算。</w:t>
      </w:r>
    </w:p>
    <w:p>
      <w:pPr>
        <w:spacing w:after="60"/>
      </w:pPr>
      <w:r>
        <w:rPr>
          <w:rFonts w:ascii="Yu Gothic" w:cs="Yu Gothic" w:eastAsia="Yu Gothic" w:hAnsi="Yu Gothic"/>
          <w:b w:val="false"/>
          <w:bCs w:val="false"/>
          <w:sz w:val="18"/>
          <w:szCs w:val="18"/>
        </w:rPr>
        <w:t xml:space="preserve">影響：[B/S] 長期営業債権：▲50百万円（償却原価への割引）。貸倒引当金：＋20百万円（区分別見積による増加）。外貨建売上債権：▲30百万円（換算差）。 [P/L] 受取利息（償却原価の戻入）：以後の期間で＋。貸倒引当金繰入額：▲20百万円。為替差損：▲30百万円。 [純資産] 利益剰余金：▲100百万円（割引50＋貸倒20＋為替30、税効果控除後 ≈ ▲69百万円）。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長期営業債権の償却原価測定（開始仕訳）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利益剰余金（受取利息相当の調整）</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長期営業債権</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新薬導出時の5年ロイヤルティ債権（年50×5＝250百万円）を実効金利5.0%で割引。当初認識の割引差額50百万円。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貸倒引当金の区分別見積による増加（開始仕訳）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利益剰余金（貸倒引当金繰入額）</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貸倒引当金</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20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一般債権5,000百万円×貸倒実績率0.4%（税法法定繰入率ベース0.3%から実績率へ）＝差替20百万円。</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外貨建売上債権の決算日換算（開始仕訳）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利益剰余金（為替差損）</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外貨建売上債権</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米国向け販売債権を移行日の決算日レートで再換算した差額30百万円（日本基準では損益計上・OCIではない）。</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31</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純額100百万円（割引50＋貸倒20＋為替30）×30.6%＝30.6百万円。税務上の繰入限度超過・換算差等は一時差異。</w:t>
            </w:r>
          </w:p>
        </w:tc>
      </w:tr>
    </w:tbl>
    <w:p>
      <w:pPr>
        <w:spacing w:after="60"/>
      </w:pPr>
      <w:r>
        <w:rPr>
          <w:rFonts w:ascii="Yu Gothic" w:cs="Yu Gothic" w:eastAsia="Yu Gothic" w:hAnsi="Yu Gothic"/>
          <w:b w:val="false"/>
          <w:bCs w:val="false"/>
          <w:sz w:val="18"/>
          <w:szCs w:val="18"/>
        </w:rPr>
        <w:t xml:space="preserve">税効果・申告調整：貸倒引当金の繰入限度超過は将来減算一時差異。長期債権の割引・外貨換算差も会計と税務の認識時期差から一時差異（純額の繰延税金資産30.6百万円）。別表四で『貸倒引当金繰入超過（加算）』等、別表五（一）で残高管理。</w:t>
      </w:r>
    </w:p>
    <w:p>
      <w:pPr>
        <w:spacing w:after="60"/>
      </w:pPr>
      <w:r>
        <w:rPr>
          <w:rFonts w:ascii="Yu Gothic" w:cs="Yu Gothic" w:eastAsia="Yu Gothic" w:hAnsi="Yu Gothic"/>
          <w:b w:val="false"/>
          <w:bCs w:val="false"/>
          <w:sz w:val="18"/>
          <w:szCs w:val="18"/>
        </w:rPr>
        <w:t xml:space="preserve">開示・注記：重要な会計方針注記：『長期営業債権は償却原価法で測定し、貸倒見積高は債権区分に応じて貸倒実績率法等により算定しています。外貨建金銭債権は決算日の為替相場で換算しています。』金融商品注記：金融商品の状況、債権の貸倒引当金、金利・為替・信用リスクの内容、（必要に応じ）金融商品の時価とその算定方法を記載。</w:t>
      </w:r>
    </w:p>
    <w:p>
      <w:pPr>
        <w:spacing w:after="60"/>
      </w:pPr>
      <w:r>
        <w:rPr>
          <w:rFonts w:ascii="Yu Gothic" w:cs="Yu Gothic" w:eastAsia="Yu Gothic" w:hAnsi="Yu Gothic"/>
          <w:b w:val="false"/>
          <w:bCs w:val="false"/>
          <w:sz w:val="18"/>
          <w:szCs w:val="18"/>
        </w:rPr>
        <w:t xml:space="preserve">業務・システム：長期債権の償却原価（実効金利）自動計算、貸倒実績率DBと区分別見積ロジック、外貨建債権の決算日換算と為替差損益の自動計上。</w:t>
      </w:r>
    </w:p>
    <w:p>
      <w:pPr>
        <w:pStyle w:val="Heading3"/>
        <w:spacing w:after="60" w:before="200"/>
      </w:pPr>
      <w:r>
        <w:rPr>
          <w:rFonts w:ascii="Yu Gothic" w:cs="Yu Gothic" w:eastAsia="Yu Gothic" w:hAnsi="Yu Gothic"/>
          <w:b/>
          <w:bCs/>
        </w:rPr>
        <w:t xml:space="preserve">企業会計基準第28号「『税効果会計に係る会計基準』の一部改正」・同適用指針第28号、回収可能性適用指針第26号（税効果会計・難易度高・影響額目安 668百万円）</w:t>
      </w:r>
    </w:p>
    <w:p>
      <w:pPr>
        <w:spacing w:after="60"/>
      </w:pPr>
      <w:r>
        <w:rPr>
          <w:rFonts w:ascii="Yu Gothic" w:cs="Yu Gothic" w:eastAsia="Yu Gothic" w:hAnsi="Yu Gothic"/>
          <w:b w:val="false"/>
          <w:bCs w:val="false"/>
          <w:sz w:val="18"/>
          <w:szCs w:val="18"/>
        </w:rPr>
        <w:t xml:space="preserve">適用範囲：会計基準移行に伴う一時差異・永久差異の整理、繰延税金資産・負債の認識・測定、回収可能性（会社分類）の判定、別表四・五（一）との整合。</w:t>
      </w:r>
    </w:p>
    <w:p>
      <w:pPr>
        <w:spacing w:after="60"/>
      </w:pPr>
      <w:r>
        <w:rPr>
          <w:rFonts w:ascii="Yu Gothic" w:cs="Yu Gothic" w:eastAsia="Yu Gothic" w:hAnsi="Yu Gothic"/>
          <w:b w:val="false"/>
          <w:bCs w:val="false"/>
          <w:sz w:val="18"/>
          <w:szCs w:val="18"/>
        </w:rPr>
        <w:t xml:space="preserve">現状（税務/旧基準）：確定決算主義に基づく税法基準では別表四・五（一）の実績記載のみで、一時差異・永久差異の体系的管理や繰延税金の計上がない。</w:t>
      </w:r>
    </w:p>
    <w:p>
      <w:pPr>
        <w:spacing w:after="60"/>
      </w:pPr>
      <w:r>
        <w:rPr>
          <w:rFonts w:ascii="Yu Gothic" w:cs="Yu Gothic" w:eastAsia="Yu Gothic" w:hAnsi="Yu Gothic"/>
          <w:b w:val="false"/>
          <w:bCs w:val="false"/>
          <w:sz w:val="18"/>
          <w:szCs w:val="18"/>
        </w:rPr>
        <w:t xml:space="preserve">新基準の処理：各論点で生じる将来減算／将来加算一時差異を網羅的に把握し、法定実効税率30.6%で繰延税金資産・負債を測定。繰延税金資産は回収可能性適用指針第26号の会社分類（分類1～5）と将来課税所得の見積りに基づき回収可能性を判定し、回収不能額は計上しない。永久差異（交際費損金不算入・受取配当益金不算入等）は税効果対象外。別表四・五（一）の一時差異残高と繰延税金の基礎を一致させる。</w:t>
      </w:r>
    </w:p>
    <w:p>
      <w:pPr>
        <w:spacing w:after="60"/>
      </w:pPr>
      <w:r>
        <w:rPr>
          <w:rFonts w:ascii="Yu Gothic" w:cs="Yu Gothic" w:eastAsia="Yu Gothic" w:hAnsi="Yu Gothic"/>
          <w:b w:val="false"/>
          <w:bCs w:val="false"/>
          <w:sz w:val="18"/>
          <w:szCs w:val="18"/>
        </w:rPr>
        <w:t xml:space="preserve">差異の要点：全論点の一時差異・永久差異の網羅的整理、会社分類に基づく回収可能性判定、別表四・五（一）と繰延税金の自動突合。</w:t>
      </w:r>
    </w:p>
    <w:p>
      <w:pPr>
        <w:spacing w:after="60"/>
      </w:pPr>
      <w:r>
        <w:rPr>
          <w:rFonts w:ascii="Yu Gothic" w:cs="Yu Gothic" w:eastAsia="Yu Gothic" w:hAnsi="Yu Gothic"/>
          <w:b w:val="false"/>
          <w:bCs w:val="false"/>
          <w:sz w:val="18"/>
          <w:szCs w:val="18"/>
        </w:rPr>
        <w:t xml:space="preserve">会計方針・判断：一時差異は発生・解消スケジュールで管理。永久差異は別表四で加減算（税効果対象外）。会社分類（当社は分類2想定）と将来課税所得見積りに基づき繰延税金資産の回収可能性を判定する。法定実効税率は30.6%を適用。</w:t>
      </w:r>
    </w:p>
    <w:p>
      <w:pPr>
        <w:spacing w:after="60"/>
      </w:pPr>
      <w:r>
        <w:rPr>
          <w:rFonts w:ascii="Yu Gothic" w:cs="Yu Gothic" w:eastAsia="Yu Gothic" w:hAnsi="Yu Gothic"/>
          <w:b w:val="false"/>
          <w:bCs w:val="false"/>
          <w:sz w:val="18"/>
          <w:szCs w:val="18"/>
        </w:rPr>
        <w:t xml:space="preserve">経過措置：累積的影響(期首利益剰余金で調整)／全論点の一時差異を一覧化し、移行日の繰延税金資産・負債（純額）を計上。回収可能性適用指針に基づき回収不能と判断される額は計上しない。別表四・五（一）と整合させる。</w:t>
      </w:r>
    </w:p>
    <w:p>
      <w:pPr>
        <w:spacing w:after="60"/>
      </w:pPr>
      <w:r>
        <w:rPr>
          <w:rFonts w:ascii="Yu Gothic" w:cs="Yu Gothic" w:eastAsia="Yu Gothic" w:hAnsi="Yu Gothic"/>
          <w:b w:val="false"/>
          <w:bCs w:val="false"/>
          <w:sz w:val="18"/>
          <w:szCs w:val="18"/>
        </w:rPr>
        <w:t xml:space="preserve">影響：[B/S] 繰延税金資産（将来減算一時差異）：＋約790百万円（各論点合計）。繰延税金負債（研究開発費前渡金等の将来加算一時差異）：▲約122百万円。回収可能性により一部を取崩。ネット繰延税金資産：＋約668百万円。 [P/L] 移行日の繰延税金は期首利益剰余金（及び一部OCI）で調整するため適用初年度期首のP/L影響はゼロ。以後、各一時差異の解消に応じて法人税等調整額が変動。 [純資産] 各論点の税効果控除後の純額が期首利益剰余金に反映済。退職給付の数理差異等はOCI（その他の包括利益累計額）に区分。</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摘要</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借方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貸方</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将来減算一時差異に係る繰延税金資産の一括計上（開始仕訳）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790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内訳（30.6%）：返金負債/返品45.9、変動対価リベート/報奨金107.1、薬価改定61.2、棚卸評価減244.8、IPR&amp;D減損30.6、無形/のれん減損61.2、退職給付137.7、リース6.1、金融商品30.6、共同開発/ライセンス61.2等。</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将来加算一時差異に係る繰延税金負債の計上（開始仕訳）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繰延税金負債</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122</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研究開発費前渡金400百万円（税務は支出時損金済）×30.6%＝122.4百万円の将来加算一時差異。</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回収可能性に基づく繰延税金資産の取崩（開始仕訳）</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利益剰余金（法人税等調整額）</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50</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会社分類（分類2）と将来課税所得見積りに照らし回収可能性が認められない一部（中止IPR&amp;D関連等）を取崩。永久差異は対象外。</w:t>
            </w:r>
          </w:p>
        </w:tc>
      </w:tr>
    </w:tbl>
    <w:p>
      <w:pPr>
        <w:spacing w:after="60"/>
      </w:pPr>
      <w:r>
        <w:rPr>
          <w:rFonts w:ascii="Yu Gothic" w:cs="Yu Gothic" w:eastAsia="Yu Gothic" w:hAnsi="Yu Gothic"/>
          <w:b w:val="false"/>
          <w:bCs w:val="false"/>
          <w:sz w:val="18"/>
          <w:szCs w:val="18"/>
        </w:rPr>
        <w:t xml:space="preserve">税効果・申告調整：税効果会計は会計（繰延税金）と税務（別表四・五（一））の橋渡し。将来減算／将来加算一時差異の発生・解消を別表四で加減算、別表五（一）で残高追跡し、永久差異は税効果対象外として区分する。回収可能性判定は会社分類に基づく。</w:t>
      </w:r>
    </w:p>
    <w:p>
      <w:pPr>
        <w:spacing w:after="60"/>
      </w:pPr>
      <w:r>
        <w:rPr>
          <w:rFonts w:ascii="Yu Gothic" w:cs="Yu Gothic" w:eastAsia="Yu Gothic" w:hAnsi="Yu Gothic"/>
          <w:b w:val="false"/>
          <w:bCs w:val="false"/>
          <w:sz w:val="18"/>
          <w:szCs w:val="18"/>
        </w:rPr>
        <w:t xml:space="preserve">開示・注記：重要な会計方針注記：『繰延税金資産・負債は法定実効税率30.6%により測定し、回収可能性適用指針に基づき会社分類および将来課税所得の見積りにより回収可能性を判定しています。』税効果注記：(1)繰延税金資産・負債の発生原因別の主な内訳と評価性引当額、(2)法定実効税率と税効果会計適用後の法人税等の負担率との差異の原因別内訳。</w:t>
      </w:r>
    </w:p>
    <w:p>
      <w:pPr>
        <w:spacing w:after="60"/>
      </w:pPr>
      <w:r>
        <w:rPr>
          <w:rFonts w:ascii="Yu Gothic" w:cs="Yu Gothic" w:eastAsia="Yu Gothic" w:hAnsi="Yu Gothic"/>
          <w:b w:val="false"/>
          <w:bCs w:val="false"/>
          <w:sz w:val="18"/>
          <w:szCs w:val="18"/>
        </w:rPr>
        <w:t xml:space="preserve">業務・システム：一時差異・永久差異の発生原因別管理、別表四・五（一）との自動リンク、会社分類・将来課税所得見積りに基づく回収可能性判定、法定実効税率の年度別更新。</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999999"/>
        <w:sz w:val="14"/>
        <w:szCs w:val="14"/>
      </w:rPr>
      <w:t xml:space="preserve">サンプル製薬株式会社　会計基準移行パッケージ　—　</w:t>
    </w:r>
    <w:r>
      <w:rPr>
        <w:rFonts w:ascii="Yu Gothic" w:cs="Yu Gothic" w:eastAsia="Yu Gothic" w:hAnsi="Yu Gothic"/>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2026-07-03T07:33:47.252Z</dcterms:created>
  <dcterms:modified xsi:type="dcterms:W3CDTF">2026-07-03T07:33:47.252Z</dcterms:modified>
</cp:coreProperties>
</file>

<file path=docProps/custom.xml><?xml version="1.0" encoding="utf-8"?>
<Properties xmlns="http://schemas.openxmlformats.org/officeDocument/2006/custom-properties" xmlns:vt="http://schemas.openxmlformats.org/officeDocument/2006/docPropsVTypes"/>
</file>