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jc w:val="left"/>
      </w:pPr>
      <w:r>
        <w:rPr>
          <w:rFonts w:eastAsia="Hiragino Sans" w:ascii="Hiragino Sans" w:hAnsi="Hiragino Sans"/>
          <w:b/>
          <w:color w:val="C0392B"/>
          <w:sz w:val="22"/>
        </w:rPr>
        <w:t>TRANSITION BACKBONE</w:t>
      </w:r>
    </w:p>
    <w:p>
      <w:r>
        <w:rPr>
          <w:rFonts w:eastAsia="Hiragino Sans" w:ascii="Hiragino Sans" w:hAnsi="Hiragino Sans"/>
          <w:b/>
          <w:color w:val="24406B"/>
          <w:sz w:val="48"/>
        </w:rPr>
        <w:t>会計基準移行 移行方針と重要な判断</w:t>
      </w:r>
    </w:p>
    <w:p>
      <w:r>
        <w:rPr>
          <w:rFonts w:eastAsia="Hiragino Sans" w:ascii="Hiragino Sans" w:hAnsi="Hiragino Sans"/>
          <w:color w:val="444444"/>
          <w:sz w:val="25"/>
        </w:rPr>
        <w:t>サンプル製造株式会社／移行日 2026年4月1日</w:t>
      </w:r>
    </w:p>
    <w:p/>
    <w:tbl>
      <w:tblPr>
        <w:tblStyle w:val="TableGrid"/>
        <w:tblW w:type="auto" w:w="0"/>
        <w:tblLook w:firstColumn="1" w:firstRow="1" w:lastColumn="0" w:lastRow="0" w:noHBand="0" w:noVBand="1" w:val="04A0"/>
      </w:tblPr>
      <w:tblGrid>
        <w:gridCol w:w="4986"/>
        <w:gridCol w:w="4986"/>
      </w:tblGrid>
      <w:tr>
        <w:tc>
          <w:tcPr>
            <w:tcW w:type="dxa" w:w="4986"/>
            <w:shd w:val="clear" w:fill="F3F4F6"/>
          </w:tcPr>
          <w:p>
            <w:r/>
            <w:r>
              <w:rPr>
                <w:rFonts w:eastAsia="Hiragino Sans" w:ascii="Hiragino Sans" w:hAnsi="Hiragino Sans"/>
                <w:b/>
                <w:sz w:val="19"/>
              </w:rPr>
              <w:t>会社名</w:t>
            </w:r>
          </w:p>
        </w:tc>
        <w:tc>
          <w:tcPr>
            <w:tcW w:type="dxa" w:w="4986"/>
          </w:tcPr>
          <w:p>
            <w:r/>
            <w:r>
              <w:rPr>
                <w:rFonts w:eastAsia="Hiragino Sans" w:ascii="Hiragino Sans" w:hAnsi="Hiragino Sans"/>
                <w:b w:val="0"/>
                <w:sz w:val="19"/>
              </w:rPr>
              <w:t>サンプル製造株式会社（架空サンプル）</w:t>
            </w:r>
          </w:p>
        </w:tc>
      </w:tr>
      <w:tr>
        <w:tc>
          <w:tcPr>
            <w:tcW w:type="dxa" w:w="4986"/>
            <w:shd w:val="clear" w:fill="F3F4F6"/>
          </w:tcPr>
          <w:p>
            <w:r/>
            <w:r>
              <w:rPr>
                <w:rFonts w:eastAsia="Hiragino Sans" w:ascii="Hiragino Sans" w:hAnsi="Hiragino Sans"/>
                <w:b/>
                <w:sz w:val="19"/>
              </w:rPr>
              <w:t>束ねている調書</w:t>
            </w:r>
          </w:p>
        </w:tc>
        <w:tc>
          <w:tcPr>
            <w:tcW w:type="dxa" w:w="4986"/>
          </w:tcPr>
          <w:p>
            <w:r/>
            <w:r>
              <w:rPr>
                <w:rFonts w:eastAsia="Hiragino Sans" w:ascii="Hiragino Sans" w:hAnsi="Hiragino Sans"/>
                <w:b w:val="0"/>
                <w:sz w:val="19"/>
              </w:rPr>
              <w:t>新リース（第34号）／減損／資産除去債務（第18号）／収益認識（第29号）／引当金（注解18）／企業結合（第21号）の6本</w:t>
            </w:r>
          </w:p>
        </w:tc>
      </w:tr>
      <w:tr>
        <w:tc>
          <w:tcPr>
            <w:tcW w:type="dxa" w:w="4986"/>
            <w:shd w:val="clear" w:fill="F3F4F6"/>
          </w:tcPr>
          <w:p>
            <w:r/>
            <w:r>
              <w:rPr>
                <w:rFonts w:eastAsia="Hiragino Sans" w:ascii="Hiragino Sans" w:hAnsi="Hiragino Sans"/>
                <w:b/>
                <w:sz w:val="19"/>
              </w:rPr>
              <w:t>共通通貨</w:t>
            </w:r>
          </w:p>
        </w:tc>
        <w:tc>
          <w:tcPr>
            <w:tcW w:type="dxa" w:w="4986"/>
          </w:tcPr>
          <w:p>
            <w:r/>
            <w:r>
              <w:rPr>
                <w:rFonts w:eastAsia="Hiragino Sans" w:ascii="Hiragino Sans" w:hAnsi="Hiragino Sans"/>
                <w:b w:val="0"/>
                <w:sz w:val="19"/>
              </w:rPr>
              <w:t>移行仕訳の行（累積的影響額という1つの数字ではない）</w:t>
            </w:r>
          </w:p>
        </w:tc>
      </w:tr>
      <w:tr>
        <w:tc>
          <w:tcPr>
            <w:tcW w:type="dxa" w:w="4986"/>
            <w:shd w:val="clear" w:fill="F3F4F6"/>
          </w:tcPr>
          <w:p>
            <w:r/>
            <w:r>
              <w:rPr>
                <w:rFonts w:eastAsia="Hiragino Sans" w:ascii="Hiragino Sans" w:hAnsi="Hiragino Sans"/>
                <w:b/>
                <w:sz w:val="19"/>
              </w:rPr>
              <w:t>移行仕訳</w:t>
            </w:r>
          </w:p>
        </w:tc>
        <w:tc>
          <w:tcPr>
            <w:tcW w:type="dxa" w:w="4986"/>
          </w:tcPr>
          <w:p>
            <w:r/>
            <w:r>
              <w:rPr>
                <w:rFonts w:eastAsia="Hiragino Sans" w:ascii="Hiragino Sans" w:hAnsi="Hiragino Sans"/>
                <w:b w:val="0"/>
                <w:sz w:val="19"/>
              </w:rPr>
              <w:t>113行／借方＝貸方＝2,995,328.36千円</w:t>
            </w:r>
          </w:p>
        </w:tc>
      </w:tr>
      <w:tr>
        <w:tc>
          <w:tcPr>
            <w:tcW w:type="dxa" w:w="4986"/>
            <w:shd w:val="clear" w:fill="F3F4F6"/>
          </w:tcPr>
          <w:p>
            <w:r/>
            <w:r>
              <w:rPr>
                <w:rFonts w:eastAsia="Hiragino Sans" w:ascii="Hiragino Sans" w:hAnsi="Hiragino Sans"/>
                <w:b/>
                <w:sz w:val="19"/>
              </w:rPr>
              <w:t>移行差異（税引後）</w:t>
            </w:r>
          </w:p>
        </w:tc>
        <w:tc>
          <w:tcPr>
            <w:tcW w:type="dxa" w:w="4986"/>
          </w:tcPr>
          <w:p>
            <w:r/>
            <w:r>
              <w:rPr>
                <w:rFonts w:eastAsia="Hiragino Sans" w:ascii="Hiragino Sans" w:hAnsi="Hiragino Sans"/>
                <w:b w:val="0"/>
                <w:sz w:val="19"/>
              </w:rPr>
              <w:t>△227,325.51千円（税引前 △327,652.80。⚠️ 企業結合は符号が正＝比較期首 ＋160,000）</w:t>
            </w:r>
          </w:p>
        </w:tc>
      </w:tr>
      <w:tr>
        <w:tc>
          <w:tcPr>
            <w:tcW w:type="dxa" w:w="4986"/>
            <w:shd w:val="clear" w:fill="F3F4F6"/>
          </w:tcPr>
          <w:p>
            <w:r/>
            <w:r>
              <w:rPr>
                <w:rFonts w:eastAsia="Hiragino Sans" w:ascii="Hiragino Sans" w:hAnsi="Hiragino Sans"/>
                <w:b/>
                <w:sz w:val="19"/>
              </w:rPr>
              <w:t>移行日の測定（減損）</w:t>
            </w:r>
          </w:p>
        </w:tc>
        <w:tc>
          <w:tcPr>
            <w:tcW w:type="dxa" w:w="4986"/>
          </w:tcPr>
          <w:p>
            <w:r/>
            <w:r>
              <w:rPr>
                <w:rFonts w:eastAsia="Hiragino Sans" w:ascii="Hiragino Sans" w:hAnsi="Hiragino Sans"/>
                <w:b w:val="0"/>
                <w:sz w:val="19"/>
              </w:rPr>
              <w:t>△777,308.99千円　※累積的影響額と足さない</w:t>
            </w:r>
          </w:p>
        </w:tc>
      </w:tr>
      <w:tr>
        <w:tc>
          <w:tcPr>
            <w:tcW w:type="dxa" w:w="4986"/>
            <w:shd w:val="clear" w:fill="F3F4F6"/>
          </w:tcPr>
          <w:p>
            <w:r/>
            <w:r>
              <w:rPr>
                <w:rFonts w:eastAsia="Hiragino Sans" w:ascii="Hiragino Sans" w:hAnsi="Hiragino Sans"/>
                <w:b/>
                <w:sz w:val="19"/>
              </w:rPr>
              <w:t>適用初年度の期首計上（時点「当期」）</w:t>
            </w:r>
          </w:p>
        </w:tc>
        <w:tc>
          <w:tcPr>
            <w:tcW w:type="dxa" w:w="4986"/>
          </w:tcPr>
          <w:p>
            <w:r/>
            <w:r>
              <w:rPr>
                <w:rFonts w:eastAsia="Hiragino Sans" w:ascii="Hiragino Sans" w:hAnsi="Hiragino Sans"/>
                <w:b w:val="0"/>
                <w:sz w:val="19"/>
              </w:rPr>
              <w:t>△60,711.44千円（第18項の差額 58,311.44＋敷金簡便法 2,400）※適用初年度の損益。別表四を通る</w:t>
            </w:r>
          </w:p>
        </w:tc>
      </w:tr>
      <w:tr>
        <w:tc>
          <w:tcPr>
            <w:tcW w:type="dxa" w:w="4986"/>
            <w:shd w:val="clear" w:fill="F3F4F6"/>
          </w:tcPr>
          <w:p>
            <w:r/>
            <w:r>
              <w:rPr>
                <w:rFonts w:eastAsia="Hiragino Sans" w:ascii="Hiragino Sans" w:hAnsi="Hiragino Sans"/>
                <w:b/>
                <w:sz w:val="19"/>
              </w:rPr>
              <w:t>未解決</w:t>
            </w:r>
          </w:p>
        </w:tc>
        <w:tc>
          <w:tcPr>
            <w:tcW w:type="dxa" w:w="4986"/>
          </w:tcPr>
          <w:p>
            <w:r/>
            <w:r>
              <w:rPr>
                <w:rFonts w:eastAsia="Hiragino Sans" w:ascii="Hiragino Sans" w:hAnsi="Hiragino Sans"/>
                <w:b w:val="0"/>
                <w:sz w:val="19"/>
              </w:rPr>
              <w:t>3件（企業結合で認識した のれん・顧客関連資産・商標権が減損の固定資産台帳に無い。⚠️ 意図した状態＝埋めずに出している。旧3件は9月7日に是正、新規検知2件は Y-316／317 で9月8日に処置）</w:t>
            </w:r>
          </w:p>
        </w:tc>
      </w:tr>
      <w:tr>
        <w:tc>
          <w:tcPr>
            <w:tcW w:type="dxa" w:w="4986"/>
            <w:shd w:val="clear" w:fill="F3F4F6"/>
          </w:tcPr>
          <w:p>
            <w:r/>
            <w:r>
              <w:rPr>
                <w:rFonts w:eastAsia="Hiragino Sans" w:ascii="Hiragino Sans" w:hAnsi="Hiragino Sans"/>
                <w:b/>
                <w:sz w:val="19"/>
              </w:rPr>
              <w:t>この設計が見つけた誤り</w:t>
            </w:r>
          </w:p>
        </w:tc>
        <w:tc>
          <w:tcPr>
            <w:tcW w:type="dxa" w:w="4986"/>
          </w:tcPr>
          <w:p>
            <w:r/>
            <w:r>
              <w:rPr>
                <w:rFonts w:eastAsia="Hiragino Sans" w:ascii="Hiragino Sans" w:hAnsi="Hiragino Sans"/>
                <w:b w:val="0"/>
                <w:sz w:val="19"/>
              </w:rPr>
              <w:t>2件（リースの累積的影響額12,700の不存在／収益認識の返金負債4,320の二重計上）</w:t>
            </w:r>
          </w:p>
        </w:tc>
      </w:tr>
      <w:tr>
        <w:tc>
          <w:tcPr>
            <w:tcW w:type="dxa" w:w="4986"/>
            <w:shd w:val="clear" w:fill="F3F4F6"/>
          </w:tcPr>
          <w:p>
            <w:r/>
            <w:r>
              <w:rPr>
                <w:rFonts w:eastAsia="Hiragino Sans" w:ascii="Hiragino Sans" w:hAnsi="Hiragino Sans"/>
                <w:b/>
                <w:sz w:val="19"/>
              </w:rPr>
              <w:t>作成</w:t>
            </w:r>
          </w:p>
        </w:tc>
        <w:tc>
          <w:tcPr>
            <w:tcW w:type="dxa" w:w="4986"/>
          </w:tcPr>
          <w:p>
            <w:r/>
            <w:r>
              <w:rPr>
                <w:rFonts w:eastAsia="Hiragino Sans" w:ascii="Hiragino Sans" w:hAnsi="Hiragino Sans"/>
                <w:b w:val="0"/>
                <w:sz w:val="19"/>
              </w:rPr>
              <w:t>cpaai.jp（AI生成ドラフト）</w:t>
            </w:r>
          </w:p>
        </w:tc>
      </w:tr>
      <w:tr>
        <w:tc>
          <w:tcPr>
            <w:tcW w:type="dxa" w:w="4986"/>
            <w:shd w:val="clear" w:fill="F3F4F6"/>
          </w:tcPr>
          <w:p>
            <w:r/>
            <w:r>
              <w:rPr>
                <w:rFonts w:eastAsia="Hiragino Sans" w:ascii="Hiragino Sans" w:hAnsi="Hiragino Sans"/>
                <w:b/>
                <w:sz w:val="19"/>
              </w:rPr>
              <w:t>査閲</w:t>
            </w:r>
          </w:p>
        </w:tc>
        <w:tc>
          <w:tcPr>
            <w:tcW w:type="dxa" w:w="4986"/>
          </w:tcPr>
          <w:p>
            <w:r/>
            <w:r>
              <w:rPr>
                <w:rFonts w:eastAsia="Hiragino Sans" w:ascii="Hiragino Sans" w:hAnsi="Hiragino Sans"/>
                <w:b w:val="0"/>
                <w:sz w:val="19"/>
              </w:rPr>
              <w:t>—</w:t>
            </w:r>
          </w:p>
        </w:tc>
      </w:tr>
    </w:tbl>
    <w:p/>
    <w:p>
      <w:pPr>
        <w:ind w:left="120"/>
        <w:shd w:val="clear" w:fill="F3F4F6"/>
        <w:pBdr>
          <w:left w:val="single" w:sz="18" w:space="6" w:color="24406B"/>
        </w:pBdr>
      </w:pPr>
      <w:r>
        <w:rPr>
          <w:rFonts w:eastAsia="Hiragino Sans" w:ascii="Hiragino Sans" w:hAnsi="Hiragino Sans"/>
          <w:b w:val="0"/>
          <w:i/>
          <w:color w:val="444444"/>
          <w:sz w:val="18"/>
        </w:rPr>
        <w:t>本書はAIが生成したドラフトであり、公認会計士のレビューを前提とする。会社・数値はすべて架空であり、実在の企業・個人とは一切関係がない。⚠️ 添付Excelの検算「✅すべてOK」が担保するのは「数式が閉じていること」だけであり、第5章の母集団の穴と金額の不一致は検算とは別の経路で検知するものであり（2026年9月7日に3件を是正。検知器の厳密化で新たに2件を検知し同日に処置。現在は企業結合キットの追加により3件＝のれん・無形資産が減損の母集団に無い、を意図して残している）、検算がOKでも検知は出る。検算が緑であることと、数値が正しいことは別である。⚠️ 税務上の取扱いについては判断を行っておらず、税理士の確認を要する。</w:t>
      </w:r>
    </w:p>
    <w:p>
      <w:r>
        <w:br w:type="page"/>
      </w:r>
    </w:p>
    <w:p>
      <w:pPr>
        <w:pStyle w:val="Heading1"/>
      </w:pPr>
      <w:r>
        <w:t>1. この資料の役割</w:t>
      </w:r>
    </w:p>
    <w:p>
      <w:pPr>
        <w:spacing w:after="80"/>
      </w:pPr>
      <w:r>
        <w:rPr>
          <w:rFonts w:eastAsia="Hiragino Sans" w:ascii="Hiragino Sans" w:hAnsi="Hiragino Sans"/>
          <w:b w:val="0"/>
          <w:i w:val="0"/>
        </w:rPr>
        <w:t>会計基準への移行では、基準ごとに調書を作る。しかし基準ごとの調書が揃っても、</w:t>
      </w:r>
      <w:r>
        <w:rPr>
          <w:rFonts w:eastAsia="Hiragino Sans" w:ascii="Hiragino Sans" w:hAnsi="Hiragino Sans"/>
          <w:b/>
          <w:i w:val="0"/>
        </w:rPr>
        <w:t>開始貸借対照表は組み上がらない</w:t>
      </w:r>
      <w:r>
        <w:rPr>
          <w:rFonts w:eastAsia="Hiragino Sans" w:ascii="Hiragino Sans" w:hAnsi="Hiragino Sans"/>
          <w:b w:val="0"/>
          <w:i w:val="0"/>
        </w:rPr>
        <w:t>。各調書がそれぞれ「累積的影響額」という数字を出しているだけで、それらを1枚に束ねる紙が無いからである。</w:t>
      </w:r>
    </w:p>
    <w:p>
      <w:pPr>
        <w:spacing w:after="80"/>
      </w:pPr>
      <w:r>
        <w:rPr>
          <w:rFonts w:eastAsia="Hiragino Sans" w:ascii="Hiragino Sans" w:hAnsi="Hiragino Sans"/>
          <w:b w:val="0"/>
          <w:i w:val="0"/>
        </w:rPr>
        <w:t>本書と添付の「移行仕訳と開始貸借対照表への影響」（Excel）は、その束ねる紙である。</w:t>
      </w:r>
    </w:p>
    <w:p>
      <w:pPr>
        <w:ind w:left="120"/>
        <w:shd w:val="clear" w:fill="F3F4F6"/>
        <w:pBdr>
          <w:left w:val="single" w:sz="18" w:space="6" w:color="24406B"/>
        </w:pBdr>
      </w:pPr>
      <w:r>
        <w:rPr>
          <w:rFonts w:eastAsia="Hiragino Sans" w:ascii="Hiragino Sans" w:hAnsi="Hiragino Sans"/>
          <w:b/>
          <w:i/>
          <w:color w:val="444444"/>
          <w:sz w:val="18"/>
        </w:rPr>
        <w:t>共通通貨は「仕訳行」であって、「累積的影響額」という1つの数字ではない。</w:t>
      </w:r>
    </w:p>
    <w:p>
      <w:pPr>
        <w:ind w:left="120"/>
        <w:shd w:val="clear" w:fill="F3F4F6"/>
        <w:pBdr>
          <w:left w:val="single" w:sz="18" w:space="6" w:color="24406B"/>
        </w:pBdr>
      </w:pPr>
      <w:r>
        <w:rPr>
          <w:rFonts w:eastAsia="Hiragino Sans" w:ascii="Hiragino Sans" w:hAnsi="Hiragino Sans"/>
          <w:b w:val="0"/>
          <w:i/>
          <w:color w:val="444444"/>
          <w:sz w:val="18"/>
        </w:rPr>
      </w:r>
    </w:p>
    <w:p>
      <w:pPr>
        <w:ind w:left="120"/>
        <w:shd w:val="clear" w:fill="F3F4F6"/>
        <w:pBdr>
          <w:left w:val="single" w:sz="18" w:space="6" w:color="24406B"/>
        </w:pBdr>
      </w:pPr>
      <w:r>
        <w:rPr>
          <w:rFonts w:eastAsia="Hiragino Sans" w:ascii="Hiragino Sans" w:hAnsi="Hiragino Sans"/>
          <w:b w:val="0"/>
          <w:i/>
          <w:color w:val="444444"/>
          <w:sz w:val="18"/>
        </w:rPr>
        <w:t>会計士が実際に扱う最小単位は仕訳行である。基準ごとの影響は性格が違う——リースと収益認識は</w:t>
      </w:r>
      <w:r>
        <w:rPr>
          <w:rFonts w:eastAsia="Hiragino Sans" w:ascii="Hiragino Sans" w:hAnsi="Hiragino Sans"/>
          <w:b/>
          <w:i/>
          <w:color w:val="444444"/>
          <w:sz w:val="18"/>
        </w:rPr>
        <w:t>会計方針の変更の累積的影響額</w:t>
      </w:r>
      <w:r>
        <w:rPr>
          <w:rFonts w:eastAsia="Hiragino Sans" w:ascii="Hiragino Sans" w:hAnsi="Hiragino Sans"/>
          <w:b w:val="0"/>
          <w:i/>
          <w:color w:val="444444"/>
          <w:sz w:val="18"/>
        </w:rPr>
        <w:t>（過年度に遡って会計方針を変えた結果。期首の利益剰余金に直接入る）、減損は</w:t>
      </w:r>
      <w:r>
        <w:rPr>
          <w:rFonts w:eastAsia="Hiragino Sans" w:ascii="Hiragino Sans" w:hAnsi="Hiragino Sans"/>
          <w:b/>
          <w:i/>
          <w:color w:val="444444"/>
          <w:sz w:val="18"/>
        </w:rPr>
        <w:t>移行日の測定</w:t>
      </w:r>
      <w:r>
        <w:rPr>
          <w:rFonts w:eastAsia="Hiragino Sans" w:ascii="Hiragino Sans" w:hAnsi="Hiragino Sans"/>
          <w:b w:val="0"/>
          <w:i/>
          <w:color w:val="444444"/>
          <w:sz w:val="18"/>
        </w:rPr>
        <w:t>（会計上の見積りであり遡及しないが、開始貸借対照表の利益剰余金に効く）、資産除去債務は</w:t>
      </w:r>
      <w:r>
        <w:rPr>
          <w:rFonts w:eastAsia="Hiragino Sans" w:ascii="Hiragino Sans" w:hAnsi="Hiragino Sans"/>
          <w:b/>
          <w:i/>
          <w:color w:val="444444"/>
          <w:sz w:val="18"/>
        </w:rPr>
        <w:t>第18号第18項のキャッチアップ</w:t>
      </w:r>
      <w:r>
        <w:rPr>
          <w:rFonts w:eastAsia="Hiragino Sans" w:ascii="Hiragino Sans" w:hAnsi="Hiragino Sans"/>
          <w:b w:val="0"/>
          <w:i/>
          <w:color w:val="444444"/>
          <w:sz w:val="18"/>
        </w:rPr>
        <w:t>（適用初年度の期首に資産・負債を立て、差額は適用初年度の損益）である。1つの数字に丸めて足すと、この違いが消えて嘘になる。仕訳行なら、時点と科目で自然に分かれるので混ざらない。</w:t>
      </w:r>
    </w:p>
    <w:p>
      <w:pPr>
        <w:pStyle w:val="Heading1"/>
      </w:pPr>
      <w:r>
        <w:t>2. この設計が実際に見つけた誤り</w:t>
      </w:r>
    </w:p>
    <w:p>
      <w:pPr>
        <w:spacing w:after="80"/>
      </w:pPr>
      <w:r>
        <w:rPr>
          <w:rFonts w:eastAsia="Hiragino Sans" w:ascii="Hiragino Sans" w:hAnsi="Hiragino Sans"/>
          <w:b w:val="0"/>
          <w:i w:val="0"/>
        </w:rPr>
        <w:t>仕訳行を共通通貨にすると、</w:t>
      </w:r>
      <w:r>
        <w:rPr>
          <w:rFonts w:eastAsia="Hiragino Sans" w:ascii="Hiragino Sans" w:hAnsi="Hiragino Sans"/>
          <w:b/>
          <w:i w:val="0"/>
        </w:rPr>
        <w:t>借方＝貸方</w:t>
      </w:r>
      <w:r>
        <w:rPr>
          <w:rFonts w:eastAsia="Hiragino Sans" w:ascii="Hiragino Sans" w:hAnsi="Hiragino Sans"/>
          <w:b w:val="0"/>
          <w:i w:val="0"/>
        </w:rPr>
        <w:t>という制約が掛かる。この制約が、1つの数字に丸めていたときには見えなかった誤りを表に出した。公開済みの資料で2件が判明し、いずれも訂正した。</w:t>
      </w:r>
    </w:p>
    <w:p>
      <w:pPr>
        <w:pStyle w:val="Heading2"/>
      </w:pPr>
      <w:r>
        <w:t>① リースの累積的影響額 12,700千円は存在しなかった</w:t>
      </w:r>
    </w:p>
    <w:p>
      <w:pPr>
        <w:spacing w:after="80"/>
      </w:pPr>
      <w:r>
        <w:rPr>
          <w:rFonts w:eastAsia="Hiragino Sans" w:ascii="Hiragino Sans" w:hAnsi="Hiragino Sans"/>
          <w:b w:val="0"/>
          <w:i w:val="0"/>
        </w:rPr>
        <w:t>仕訳を組むと借方1,191,504.45・貸方1,191,504.45で成立するのに、</w:t>
      </w:r>
      <w:r>
        <w:rPr>
          <w:rFonts w:eastAsia="Hiragino Sans" w:ascii="Hiragino Sans" w:hAnsi="Hiragino Sans"/>
          <w:b/>
          <w:i w:val="0"/>
        </w:rPr>
        <w:t>利益剰余金の行が1本も立たない</w:t>
      </w:r>
      <w:r>
        <w:rPr>
          <w:rFonts w:eastAsia="Hiragino Sans" w:ascii="Hiragino Sans" w:hAnsi="Hiragino Sans"/>
          <w:b w:val="0"/>
          <w:i w:val="0"/>
        </w:rPr>
        <w:t>。</w:t>
      </w:r>
    </w:p>
    <w:p>
      <w:pPr>
        <w:spacing w:after="80"/>
      </w:pPr>
      <w:r>
        <w:rPr>
          <w:rFonts w:eastAsia="Hiragino Sans" w:ascii="Hiragino Sans" w:hAnsi="Hiragino Sans"/>
          <w:b w:val="0"/>
          <w:i w:val="0"/>
        </w:rPr>
        <w:t>原因は定義の誤りだった。`使用権資産 − リース負債 − 旧残高の純額` としていたが、簡便法では `使用権資産＝リース負債＋前払リース料−未払リース料` なので、この式は実質「</w:t>
      </w:r>
      <w:r>
        <w:rPr>
          <w:rFonts w:eastAsia="Hiragino Sans" w:ascii="Hiragino Sans" w:hAnsi="Hiragino Sans"/>
          <w:b/>
          <w:i w:val="0"/>
        </w:rPr>
        <w:t>前払リース料の額</w:t>
      </w:r>
      <w:r>
        <w:rPr>
          <w:rFonts w:eastAsia="Hiragino Sans" w:ascii="Hiragino Sans" w:hAnsi="Hiragino Sans"/>
          <w:b w:val="0"/>
          <w:i w:val="0"/>
        </w:rPr>
        <w:t>」を純資産への影響として数えていた。前払リース料は移行前から資産として計上されており、使用権資産へ振り替えるだけで純資産は動かない。</w:t>
      </w:r>
    </w:p>
    <w:p>
      <w:pPr>
        <w:spacing w:after="80"/>
      </w:pPr>
      <w:r>
        <w:rPr>
          <w:rFonts w:eastAsia="Hiragino Sans" w:ascii="Hiragino Sans" w:hAnsi="Hiragino Sans"/>
          <w:b/>
          <w:i w:val="0"/>
        </w:rPr>
        <w:t>簡便法による移行では、累積的影響額は原則として0になる。</w:t>
      </w:r>
      <w:r>
        <w:rPr>
          <w:rFonts w:eastAsia="Hiragino Sans" w:ascii="Hiragino Sans" w:hAnsi="Hiragino Sans"/>
          <w:b w:val="0"/>
          <w:i w:val="0"/>
        </w:rPr>
        <w:t xml:space="preserve"> 貸借が一致するように設計されているからである。純資産が動くのは、旧基準でオンバランスしていた契約を</w:t>
      </w:r>
      <w:r>
        <w:rPr>
          <w:rFonts w:eastAsia="Hiragino Sans" w:ascii="Hiragino Sans" w:hAnsi="Hiragino Sans"/>
          <w:b/>
          <w:i w:val="0"/>
        </w:rPr>
        <w:t>算定し直す</w:t>
      </w:r>
      <w:r>
        <w:rPr>
          <w:rFonts w:eastAsia="Hiragino Sans" w:ascii="Hiragino Sans" w:hAnsi="Hiragino Sans"/>
          <w:b w:val="0"/>
          <w:i w:val="0"/>
        </w:rPr>
        <w:t>場合の旧残高の消去だけである。</w:t>
      </w:r>
    </w:p>
    <w:p>
      <w:pPr>
        <w:pStyle w:val="Heading2"/>
      </w:pPr>
      <w:r>
        <w:t>② 収益認識の返金負債 4,320千円を二重に書いていた</w:t>
      </w:r>
    </w:p>
    <w:p>
      <w:pPr>
        <w:spacing w:after="80"/>
      </w:pPr>
      <w:r>
        <w:rPr>
          <w:rFonts w:eastAsia="Hiragino Sans" w:ascii="Hiragino Sans" w:hAnsi="Hiragino Sans"/>
          <w:b w:val="0"/>
          <w:i w:val="0"/>
        </w:rPr>
        <w:t>「契約資産・契約負債の組替」と「返品権付き販売」の2か所に同じ4,320千円が載っていた。別々のシートにあり、ワークブックの中では合算されないため表面化していなかった。仕訳にすると借方と貸方が8,640千円ずれ、そこで判明した。</w:t>
      </w:r>
    </w:p>
    <w:p>
      <w:pPr>
        <w:spacing w:after="80"/>
      </w:pPr>
      <w:r>
        <w:rPr>
          <w:rFonts w:eastAsia="Hiragino Sans" w:ascii="Hiragino Sans" w:hAnsi="Hiragino Sans"/>
          <w:b w:val="0"/>
          <w:i w:val="0"/>
        </w:rPr>
        <w:t>あわせて、勘定科目の区分を科目名から推測していたため「売上値引・戻り高」が資産に分類され、借方貸方が逆になっていた。</w:t>
      </w:r>
      <w:r>
        <w:rPr>
          <w:rFonts w:eastAsia="Hiragino Sans" w:ascii="Hiragino Sans" w:hAnsi="Hiragino Sans"/>
          <w:b/>
          <w:i w:val="0"/>
        </w:rPr>
        <w:t>推測をやめ、明示的な対応表に直した。</w:t>
      </w:r>
    </w:p>
    <w:p>
      <w:pPr>
        <w:ind w:left="120"/>
        <w:shd w:val="clear" w:fill="F3F4F6"/>
        <w:pBdr>
          <w:left w:val="single" w:sz="18" w:space="6" w:color="24406B"/>
        </w:pBdr>
      </w:pPr>
      <w:r>
        <w:rPr>
          <w:rFonts w:eastAsia="Hiragino Sans" w:ascii="Hiragino Sans" w:hAnsi="Hiragino Sans"/>
          <w:b/>
          <w:i/>
          <w:color w:val="444444"/>
          <w:sz w:val="18"/>
        </w:rPr>
        <w:t>移行の影響額は、仕訳として組めることを確かめてから出すべきである。</w:t>
      </w:r>
      <w:r>
        <w:rPr>
          <w:rFonts w:eastAsia="Hiragino Sans" w:ascii="Hiragino Sans" w:hAnsi="Hiragino Sans"/>
          <w:b w:val="0"/>
          <w:i/>
          <w:color w:val="444444"/>
          <w:sz w:val="18"/>
        </w:rPr>
        <w:t xml:space="preserve"> この2件はどちらも、丸めた数字のままでは発見できなかった。</w:t>
      </w:r>
    </w:p>
    <w:p>
      <w:pPr>
        <w:pStyle w:val="Heading1"/>
      </w:pPr>
      <w:r>
        <w:t>3. 基準日の食い違いを、日付ではなく順序で解く</w:t>
      </w:r>
    </w:p>
    <w:p>
      <w:pPr>
        <w:spacing w:after="80"/>
      </w:pPr>
      <w:r>
        <w:rPr>
          <w:rFonts w:eastAsia="Hiragino Sans" w:ascii="Hiragino Sans" w:hAnsi="Hiragino Sans"/>
          <w:b w:val="0"/>
          <w:i w:val="0"/>
        </w:rPr>
        <w:t>4つの調書は基準日が揃っていない。リースと収益認識は移行日（2026年4月1日）、減損と資産除去債務は決算日（2026年3月31日）を基準にしている。</w:t>
      </w:r>
    </w:p>
    <w:p>
      <w:pPr>
        <w:spacing w:after="80"/>
      </w:pPr>
      <w:r>
        <w:rPr>
          <w:rFonts w:eastAsia="Hiragino Sans" w:ascii="Hiragino Sans" w:hAnsi="Hiragino Sans"/>
          <w:b w:val="0"/>
          <w:i w:val="0"/>
        </w:rPr>
        <w:t>これを「日付を揃える」改修で解こうとすると、各調書に手を入れることになる。しかし</w:t>
      </w:r>
      <w:r>
        <w:rPr>
          <w:rFonts w:eastAsia="Hiragino Sans" w:ascii="Hiragino Sans" w:hAnsi="Hiragino Sans"/>
          <w:b/>
          <w:i w:val="0"/>
        </w:rPr>
        <w:t>開始貸借対照表は、決算日の残高に移行仕訳を載せたものである</w:t>
      </w:r>
      <w:r>
        <w:rPr>
          <w:rFonts w:eastAsia="Hiragino Sans" w:ascii="Hiragino Sans" w:hAnsi="Hiragino Sans"/>
          <w:b w:val="0"/>
          <w:i w:val="0"/>
        </w:rPr>
        <w:t>。時点としては同一で、違うのは「どの調整を先に載せるか」だけである。</w:t>
      </w:r>
    </w:p>
    <w:p>
      <w:pPr>
        <w:spacing w:after="80"/>
      </w:pPr>
      <w:r>
        <w:rPr>
          <w:rFonts w:eastAsia="Hiragino Sans" w:ascii="Hiragino Sans" w:hAnsi="Hiragino Sans"/>
          <w:b w:val="0"/>
          <w:i w:val="0"/>
        </w:rPr>
        <w:t>そこで</w:t>
      </w:r>
      <w:r>
        <w:rPr>
          <w:rFonts w:eastAsia="Hiragino Sans" w:ascii="Hiragino Sans" w:hAnsi="Hiragino Sans"/>
          <w:b/>
          <w:i w:val="0"/>
        </w:rPr>
        <w:t>組立順序</w:t>
      </w:r>
      <w:r>
        <w:rPr>
          <w:rFonts w:eastAsia="Hiragino Sans" w:ascii="Hiragino Sans" w:hAnsi="Hiragino Sans"/>
          <w:b w:val="0"/>
          <w:i w:val="0"/>
        </w:rPr>
        <w:t>を固定した。</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順序</w:t>
            </w:r>
          </w:p>
        </w:tc>
        <w:tc>
          <w:tcPr>
            <w:tcW w:type="dxa" w:w="3324"/>
            <w:shd w:val="clear" w:fill="24406B"/>
          </w:tcPr>
          <w:p>
            <w:r/>
            <w:r>
              <w:rPr>
                <w:rFonts w:eastAsia="Hiragino Sans" w:ascii="Hiragino Sans" w:hAnsi="Hiragino Sans"/>
                <w:b/>
                <w:color w:val="FFFFFF"/>
                <w:sz w:val="18"/>
              </w:rPr>
              <w:t>含まれる基準</w:t>
            </w:r>
          </w:p>
        </w:tc>
        <w:tc>
          <w:tcPr>
            <w:tcW w:type="dxa" w:w="3324"/>
            <w:shd w:val="clear" w:fill="24406B"/>
          </w:tcPr>
          <w:p>
            <w:r/>
            <w:r>
              <w:rPr>
                <w:rFonts w:eastAsia="Hiragino Sans" w:ascii="Hiragino Sans" w:hAnsi="Hiragino Sans"/>
                <w:b/>
                <w:color w:val="FFFFFF"/>
                <w:sz w:val="18"/>
              </w:rPr>
              <w:t>何をするか</w:t>
            </w:r>
          </w:p>
        </w:tc>
      </w:tr>
      <w:tr>
        <w:tc>
          <w:tcPr>
            <w:tcW w:type="dxa" w:w="3324"/>
          </w:tcPr>
          <w:p>
            <w:r/>
            <w:r>
              <w:rPr>
                <w:rFonts w:eastAsia="Hiragino Sans" w:ascii="Hiragino Sans" w:hAnsi="Hiragino Sans"/>
                <w:b/>
                <w:sz w:val="18"/>
              </w:rPr>
              <w:t>1 認識</w:t>
            </w:r>
          </w:p>
        </w:tc>
        <w:tc>
          <w:tcPr>
            <w:tcW w:type="dxa" w:w="3324"/>
          </w:tcPr>
          <w:p>
            <w:r/>
            <w:r>
              <w:rPr>
                <w:rFonts w:eastAsia="Hiragino Sans" w:ascii="Hiragino Sans" w:hAnsi="Hiragino Sans"/>
                <w:b w:val="0"/>
                <w:sz w:val="18"/>
              </w:rPr>
              <w:t>リース・収益認識・資産除去債務・引当金・企業結合</w:t>
            </w:r>
          </w:p>
        </w:tc>
        <w:tc>
          <w:tcPr>
            <w:tcW w:type="dxa" w:w="3324"/>
          </w:tcPr>
          <w:p>
            <w:r/>
            <w:r>
              <w:rPr>
                <w:rFonts w:eastAsia="Hiragino Sans" w:ascii="Hiragino Sans" w:hAnsi="Hiragino Sans"/>
                <w:b w:val="0"/>
                <w:sz w:val="18"/>
              </w:rPr>
              <w:t>資産負債を新たに認識する。使用権資産・契約負債・資産除去債務・除去費用・各引当金・のれん・識別可能無形資産がここで立つ</w:t>
            </w:r>
          </w:p>
        </w:tc>
      </w:tr>
      <w:tr>
        <w:tc>
          <w:tcPr>
            <w:tcW w:type="dxa" w:w="3324"/>
            <w:shd w:val="clear" w:fill="F7F8FA"/>
          </w:tcPr>
          <w:p>
            <w:r/>
            <w:r>
              <w:rPr>
                <w:rFonts w:eastAsia="Hiragino Sans" w:ascii="Hiragino Sans" w:hAnsi="Hiragino Sans"/>
                <w:b/>
                <w:sz w:val="18"/>
              </w:rPr>
              <w:t>2 測定</w:t>
            </w:r>
          </w:p>
        </w:tc>
        <w:tc>
          <w:tcPr>
            <w:tcW w:type="dxa" w:w="3324"/>
            <w:shd w:val="clear" w:fill="F7F8FA"/>
          </w:tcPr>
          <w:p>
            <w:r/>
            <w:r>
              <w:rPr>
                <w:rFonts w:eastAsia="Hiragino Sans" w:ascii="Hiragino Sans" w:hAnsi="Hiragino Sans"/>
                <w:b w:val="0"/>
                <w:sz w:val="18"/>
              </w:rPr>
              <w:t>減損</w:t>
            </w:r>
          </w:p>
        </w:tc>
        <w:tc>
          <w:tcPr>
            <w:tcW w:type="dxa" w:w="3324"/>
            <w:shd w:val="clear" w:fill="F7F8FA"/>
          </w:tcPr>
          <w:p>
            <w:r/>
            <w:r>
              <w:rPr>
                <w:rFonts w:eastAsia="Hiragino Sans" w:ascii="Hiragino Sans" w:hAnsi="Hiragino Sans"/>
                <w:b/>
                <w:sz w:val="18"/>
              </w:rPr>
              <w:t>順序1の出力を含む帳簿価額に対して</w:t>
            </w:r>
            <w:r>
              <w:rPr>
                <w:rFonts w:eastAsia="Hiragino Sans" w:ascii="Hiragino Sans" w:hAnsi="Hiragino Sans"/>
                <w:b w:val="0"/>
                <w:sz w:val="18"/>
              </w:rPr>
              <w:t>判定する</w:t>
            </w:r>
          </w:p>
        </w:tc>
      </w:tr>
      <w:tr>
        <w:tc>
          <w:tcPr>
            <w:tcW w:type="dxa" w:w="3324"/>
          </w:tcPr>
          <w:p>
            <w:r/>
            <w:r>
              <w:rPr>
                <w:rFonts w:eastAsia="Hiragino Sans" w:ascii="Hiragino Sans" w:hAnsi="Hiragino Sans"/>
                <w:b/>
                <w:sz w:val="18"/>
              </w:rPr>
              <w:t>3 税効果</w:t>
            </w:r>
          </w:p>
        </w:tc>
        <w:tc>
          <w:tcPr>
            <w:tcW w:type="dxa" w:w="3324"/>
          </w:tcPr>
          <w:p>
            <w:r/>
            <w:r>
              <w:rPr>
                <w:rFonts w:eastAsia="Hiragino Sans" w:ascii="Hiragino Sans" w:hAnsi="Hiragino Sans"/>
                <w:b w:val="0"/>
                <w:sz w:val="18"/>
              </w:rPr>
              <w:t>（全基準）</w:t>
            </w:r>
          </w:p>
        </w:tc>
        <w:tc>
          <w:tcPr>
            <w:tcW w:type="dxa" w:w="3324"/>
          </w:tcPr>
          <w:p>
            <w:r/>
            <w:r>
              <w:rPr>
                <w:rFonts w:eastAsia="Hiragino Sans" w:ascii="Hiragino Sans" w:hAnsi="Hiragino Sans"/>
                <w:b w:val="0"/>
                <w:sz w:val="18"/>
              </w:rPr>
              <w:t>順序1・2で生じた一時差異に繰延税金を計上する</w:t>
            </w:r>
          </w:p>
        </w:tc>
      </w:tr>
    </w:tbl>
    <w:p>
      <w:pPr>
        <w:spacing w:after="40"/>
      </w:pPr>
    </w:p>
    <w:p>
      <w:pPr>
        <w:spacing w:after="80"/>
      </w:pPr>
      <w:r>
        <w:rPr>
          <w:rFonts w:eastAsia="Hiragino Sans" w:ascii="Hiragino Sans" w:hAnsi="Hiragino Sans"/>
          <w:b w:val="0"/>
          <w:i w:val="0"/>
        </w:rPr>
        <w:t>これにより、「減損の資産グループに入る使用権資産はいくらか」という問いは、</w:t>
      </w:r>
      <w:r>
        <w:rPr>
          <w:rFonts w:eastAsia="Hiragino Sans" w:ascii="Hiragino Sans" w:hAnsi="Hiragino Sans"/>
          <w:b/>
          <w:i w:val="0"/>
        </w:rPr>
        <w:t>「順序1がその時点で出す値」と構造で決まる</w:t>
      </w:r>
      <w:r>
        <w:rPr>
          <w:rFonts w:eastAsia="Hiragino Sans" w:ascii="Hiragino Sans" w:hAnsi="Hiragino Sans"/>
          <w:b w:val="0"/>
          <w:i w:val="0"/>
        </w:rPr>
        <w:t>。280,000でも745,145.42でもなく、順序1の出力が正解になる。日付を揃える改修は要らない。2026年9月7日の是正（決裁Y-296）では、固定資産台帳そのものを順序1の出力から</w:t>
      </w:r>
      <w:r>
        <w:rPr>
          <w:rFonts w:eastAsia="Hiragino Sans" w:ascii="Hiragino Sans" w:hAnsi="Hiragino Sans"/>
          <w:b/>
          <w:i w:val="0"/>
        </w:rPr>
        <w:t>導出</w:t>
      </w:r>
      <w:r>
        <w:rPr>
          <w:rFonts w:eastAsia="Hiragino Sans" w:ascii="Hiragino Sans" w:hAnsi="Hiragino Sans"/>
          <w:b w:val="0"/>
          <w:i w:val="0"/>
        </w:rPr>
        <w:t>するように改め、手入力の二重値を廃止した。</w:t>
      </w:r>
    </w:p>
    <w:p>
      <w:pPr>
        <w:pStyle w:val="Heading1"/>
      </w:pPr>
      <w:r>
        <w:t>4. 集計結果</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区分</w:t>
            </w:r>
          </w:p>
        </w:tc>
        <w:tc>
          <w:tcPr>
            <w:tcW w:type="dxa" w:w="3324"/>
            <w:shd w:val="clear" w:fill="24406B"/>
          </w:tcPr>
          <w:p>
            <w:r/>
            <w:r>
              <w:rPr>
                <w:rFonts w:eastAsia="Hiragino Sans" w:ascii="Hiragino Sans" w:hAnsi="Hiragino Sans"/>
                <w:b/>
                <w:color w:val="FFFFFF"/>
                <w:sz w:val="18"/>
              </w:rPr>
              <w:t>金額（千円）</w:t>
            </w:r>
          </w:p>
        </w:tc>
        <w:tc>
          <w:tcPr>
            <w:tcW w:type="dxa" w:w="3324"/>
            <w:shd w:val="clear" w:fill="24406B"/>
          </w:tcPr>
          <w:p>
            <w:r/>
            <w:r>
              <w:rPr>
                <w:rFonts w:eastAsia="Hiragino Sans" w:ascii="Hiragino Sans" w:hAnsi="Hiragino Sans"/>
                <w:b/>
                <w:color w:val="FFFFFF"/>
                <w:sz w:val="18"/>
              </w:rPr>
              <w:t>説明</w:t>
            </w:r>
          </w:p>
        </w:tc>
      </w:tr>
      <w:tr>
        <w:tc>
          <w:tcPr>
            <w:tcW w:type="dxa" w:w="3324"/>
          </w:tcPr>
          <w:p>
            <w:r/>
            <w:r>
              <w:rPr>
                <w:rFonts w:eastAsia="Hiragino Sans" w:ascii="Hiragino Sans" w:hAnsi="Hiragino Sans"/>
                <w:b/>
                <w:sz w:val="18"/>
              </w:rPr>
              <w:t>移行差異（税引前）</w:t>
            </w:r>
          </w:p>
        </w:tc>
        <w:tc>
          <w:tcPr>
            <w:tcW w:type="dxa" w:w="3324"/>
          </w:tcPr>
          <w:p>
            <w:r/>
            <w:r>
              <w:rPr>
                <w:rFonts w:eastAsia="Hiragino Sans" w:ascii="Hiragino Sans" w:hAnsi="Hiragino Sans"/>
                <w:b/>
                <w:sz w:val="18"/>
              </w:rPr>
              <w:t>△327,652.80</w:t>
            </w:r>
          </w:p>
        </w:tc>
        <w:tc>
          <w:tcPr>
            <w:tcW w:type="dxa" w:w="3324"/>
          </w:tcPr>
          <w:p>
            <w:r/>
            <w:r>
              <w:rPr>
                <w:rFonts w:eastAsia="Hiragino Sans" w:ascii="Hiragino Sans" w:hAnsi="Hiragino Sans"/>
                <w:b w:val="0"/>
                <w:sz w:val="18"/>
              </w:rPr>
              <w:t>会計方針の変更の累積的影響額（比較期首 △257,552.40＝収益認識 △104,502.40＋引当金 △313,050＋</w:t>
            </w:r>
            <w:r>
              <w:rPr>
                <w:rFonts w:eastAsia="Hiragino Sans" w:ascii="Hiragino Sans" w:hAnsi="Hiragino Sans"/>
                <w:b/>
                <w:sz w:val="18"/>
              </w:rPr>
              <w:t>企業結合 ＋160,000</w:t>
            </w:r>
            <w:r>
              <w:rPr>
                <w:rFonts w:eastAsia="Hiragino Sans" w:ascii="Hiragino Sans" w:hAnsi="Hiragino Sans"/>
                <w:b w:val="0"/>
                <w:sz w:val="18"/>
              </w:rPr>
              <w:t xml:space="preserve"> ／ 比較年度の変動 △70,100.40＝収益認識 △13,650.40＋引当金 △36,450＋企業結合 △20,000。純資産行）⚠️ 企業結合だけ符号が</w:t>
            </w:r>
            <w:r>
              <w:rPr>
                <w:rFonts w:eastAsia="Hiragino Sans" w:ascii="Hiragino Sans" w:hAnsi="Hiragino Sans"/>
                <w:b/>
                <w:sz w:val="18"/>
              </w:rPr>
              <w:t>正</w:t>
            </w:r>
            <w:r>
              <w:rPr>
                <w:rFonts w:eastAsia="Hiragino Sans" w:ascii="Hiragino Sans" w:hAnsi="Hiragino Sans"/>
                <w:b w:val="0"/>
                <w:sz w:val="18"/>
              </w:rPr>
              <w:t>である（資産が立って利益剰余金が増える）</w:t>
            </w:r>
          </w:p>
        </w:tc>
      </w:tr>
      <w:tr>
        <w:tc>
          <w:tcPr>
            <w:tcW w:type="dxa" w:w="3324"/>
            <w:shd w:val="clear" w:fill="F7F8FA"/>
          </w:tcPr>
          <w:p>
            <w:r/>
            <w:r>
              <w:rPr>
                <w:rFonts w:eastAsia="Hiragino Sans" w:ascii="Hiragino Sans" w:hAnsi="Hiragino Sans"/>
                <w:b w:val="0"/>
                <w:sz w:val="18"/>
              </w:rPr>
              <w:t>税効果（実効税率30.62%）</w:t>
            </w:r>
          </w:p>
        </w:tc>
        <w:tc>
          <w:tcPr>
            <w:tcW w:type="dxa" w:w="3324"/>
            <w:shd w:val="clear" w:fill="F7F8FA"/>
          </w:tcPr>
          <w:p>
            <w:r/>
            <w:r>
              <w:rPr>
                <w:rFonts w:eastAsia="Hiragino Sans" w:ascii="Hiragino Sans" w:hAnsi="Hiragino Sans"/>
                <w:b w:val="0"/>
                <w:sz w:val="18"/>
              </w:rPr>
              <w:t>100,327.29</w:t>
            </w:r>
          </w:p>
        </w:tc>
        <w:tc>
          <w:tcPr>
            <w:tcW w:type="dxa" w:w="3324"/>
            <w:shd w:val="clear" w:fill="F7F8FA"/>
          </w:tcPr>
          <w:p>
            <w:r/>
            <w:r>
              <w:rPr>
                <w:rFonts w:eastAsia="Hiragino Sans" w:ascii="Hiragino Sans" w:hAnsi="Hiragino Sans"/>
                <w:b w:val="0"/>
                <w:sz w:val="18"/>
              </w:rPr>
            </w:r>
          </w:p>
        </w:tc>
      </w:tr>
      <w:tr>
        <w:tc>
          <w:tcPr>
            <w:tcW w:type="dxa" w:w="3324"/>
          </w:tcPr>
          <w:p>
            <w:r/>
            <w:r>
              <w:rPr>
                <w:rFonts w:eastAsia="Hiragino Sans" w:ascii="Hiragino Sans" w:hAnsi="Hiragino Sans"/>
                <w:b/>
                <w:sz w:val="18"/>
              </w:rPr>
              <w:t>移行差異（税引後）</w:t>
            </w:r>
          </w:p>
        </w:tc>
        <w:tc>
          <w:tcPr>
            <w:tcW w:type="dxa" w:w="3324"/>
          </w:tcPr>
          <w:p>
            <w:r/>
            <w:r>
              <w:rPr>
                <w:rFonts w:eastAsia="Hiragino Sans" w:ascii="Hiragino Sans" w:hAnsi="Hiragino Sans"/>
                <w:b/>
                <w:sz w:val="18"/>
              </w:rPr>
              <w:t>△227,325.51</w:t>
            </w:r>
          </w:p>
        </w:tc>
        <w:tc>
          <w:tcPr>
            <w:tcW w:type="dxa" w:w="3324"/>
          </w:tcPr>
          <w:p>
            <w:r/>
            <w:r>
              <w:rPr>
                <w:rFonts w:eastAsia="Hiragino Sans" w:ascii="Hiragino Sans" w:hAnsi="Hiragino Sans"/>
                <w:b w:val="0"/>
                <w:sz w:val="18"/>
              </w:rPr>
              <w:t>期首利益剰余金への影響</w:t>
            </w:r>
          </w:p>
        </w:tc>
      </w:tr>
      <w:tr>
        <w:tc>
          <w:tcPr>
            <w:tcW w:type="dxa" w:w="3324"/>
            <w:shd w:val="clear" w:fill="F7F8FA"/>
          </w:tcPr>
          <w:p>
            <w:r/>
            <w:r>
              <w:rPr>
                <w:rFonts w:eastAsia="Hiragino Sans" w:ascii="Hiragino Sans" w:hAnsi="Hiragino Sans"/>
                <w:b/>
                <w:sz w:val="18"/>
              </w:rPr>
              <w:t>移行日の測定（減損）</w:t>
            </w:r>
          </w:p>
        </w:tc>
        <w:tc>
          <w:tcPr>
            <w:tcW w:type="dxa" w:w="3324"/>
            <w:shd w:val="clear" w:fill="F7F8FA"/>
          </w:tcPr>
          <w:p>
            <w:r/>
            <w:r>
              <w:rPr>
                <w:rFonts w:eastAsia="Hiragino Sans" w:ascii="Hiragino Sans" w:hAnsi="Hiragino Sans"/>
                <w:b/>
                <w:sz w:val="18"/>
              </w:rPr>
              <w:t>△777,308.99</w:t>
            </w:r>
          </w:p>
        </w:tc>
        <w:tc>
          <w:tcPr>
            <w:tcW w:type="dxa" w:w="3324"/>
            <w:shd w:val="clear" w:fill="F7F8FA"/>
          </w:tcPr>
          <w:p>
            <w:r/>
            <w:r>
              <w:rPr>
                <w:rFonts w:eastAsia="Hiragino Sans" w:ascii="Hiragino Sans" w:hAnsi="Hiragino Sans"/>
                <w:b w:val="0"/>
                <w:sz w:val="18"/>
              </w:rPr>
              <w:t xml:space="preserve">時点「開始B/S」・順序2。開始貸借対照表の利益剰余金に効く。⚠️ </w:t>
            </w:r>
            <w:r>
              <w:rPr>
                <w:rFonts w:eastAsia="Hiragino Sans" w:ascii="Hiragino Sans" w:hAnsi="Hiragino Sans"/>
                <w:b/>
                <w:sz w:val="18"/>
              </w:rPr>
              <w:t>累積的影響額と足さない</w:t>
            </w:r>
          </w:p>
        </w:tc>
      </w:tr>
      <w:tr>
        <w:tc>
          <w:tcPr>
            <w:tcW w:type="dxa" w:w="3324"/>
          </w:tcPr>
          <w:p>
            <w:r/>
            <w:r>
              <w:rPr>
                <w:rFonts w:eastAsia="Hiragino Sans" w:ascii="Hiragino Sans" w:hAnsi="Hiragino Sans"/>
                <w:b/>
                <w:sz w:val="18"/>
              </w:rPr>
              <w:t>適用初年度の期首計上（時点「当期」）</w:t>
            </w:r>
          </w:p>
        </w:tc>
        <w:tc>
          <w:tcPr>
            <w:tcW w:type="dxa" w:w="3324"/>
          </w:tcPr>
          <w:p>
            <w:r/>
            <w:r>
              <w:rPr>
                <w:rFonts w:eastAsia="Hiragino Sans" w:ascii="Hiragino Sans" w:hAnsi="Hiragino Sans"/>
                <w:b/>
                <w:sz w:val="18"/>
              </w:rPr>
              <w:t>△60,711.44</w:t>
            </w:r>
          </w:p>
        </w:tc>
        <w:tc>
          <w:tcPr>
            <w:tcW w:type="dxa" w:w="3324"/>
          </w:tcPr>
          <w:p>
            <w:r/>
            <w:r>
              <w:rPr>
                <w:rFonts w:eastAsia="Hiragino Sans" w:ascii="Hiragino Sans" w:hAnsi="Hiragino Sans"/>
                <w:b w:val="0"/>
                <w:sz w:val="18"/>
              </w:rPr>
              <w:t>第18項の差額 △58,311.44 ＋ 敷金簡便法の移行日調整 △2,400。適用初年度の損益であり、期首の利益剰余金には入らない。</w:t>
            </w:r>
            <w:r>
              <w:rPr>
                <w:rFonts w:eastAsia="Hiragino Sans" w:ascii="Hiragino Sans" w:hAnsi="Hiragino Sans"/>
                <w:b/>
                <w:sz w:val="18"/>
              </w:rPr>
              <w:t>これだけが別表四を通る</w:t>
            </w:r>
          </w:p>
        </w:tc>
      </w:tr>
    </w:tbl>
    <w:p>
      <w:pPr>
        <w:spacing w:after="40"/>
      </w:pPr>
    </w:p>
    <w:p>
      <w:pPr>
        <w:spacing w:after="80"/>
      </w:pPr>
      <w:r>
        <w:rPr>
          <w:rFonts w:eastAsia="Hiragino Sans" w:ascii="Hiragino Sans" w:hAnsi="Hiragino Sans"/>
          <w:b w:val="0"/>
          <w:i w:val="0"/>
        </w:rPr>
        <w:t>移行仕訳は113行、借方＝貸方＝2,995,328.36千円で成立している（遡及適用の表が実体化した比較年度の変動を含む。背骨と精算表は同じ仕訳集合を持つ。引当金キット〈9本目〉と企業結合キット〈10本目・2026年9月9日〉を含む）。</w:t>
      </w:r>
    </w:p>
    <w:p>
      <w:pPr>
        <w:pStyle w:val="Heading2"/>
      </w:pPr>
      <w:r>
        <w:t>時点×順序の層別</w:t>
      </w:r>
    </w:p>
    <w:tbl>
      <w:tblPr>
        <w:tblStyle w:val="TableGrid"/>
        <w:tblW w:type="auto" w:w="0"/>
        <w:jc w:val="center"/>
        <w:tblLayout w:type="autofit"/>
        <w:tblLook w:firstColumn="1" w:firstRow="1" w:lastColumn="0" w:lastRow="0" w:noHBand="0" w:noVBand="1" w:val="04A0"/>
      </w:tblPr>
      <w:tblGrid>
        <w:gridCol w:w="1994"/>
        <w:gridCol w:w="1994"/>
        <w:gridCol w:w="1994"/>
        <w:gridCol w:w="1994"/>
        <w:gridCol w:w="1994"/>
      </w:tblGrid>
      <w:tr>
        <w:tc>
          <w:tcPr>
            <w:tcW w:type="dxa" w:w="1994"/>
            <w:shd w:val="clear" w:fill="24406B"/>
          </w:tcPr>
          <w:p>
            <w:r/>
            <w:r>
              <w:rPr>
                <w:rFonts w:eastAsia="Hiragino Sans" w:ascii="Hiragino Sans" w:hAnsi="Hiragino Sans"/>
                <w:b/>
                <w:color w:val="FFFFFF"/>
                <w:sz w:val="18"/>
              </w:rPr>
              <w:t>時点</w:t>
            </w:r>
          </w:p>
        </w:tc>
        <w:tc>
          <w:tcPr>
            <w:tcW w:type="dxa" w:w="1994"/>
            <w:shd w:val="clear" w:fill="24406B"/>
          </w:tcPr>
          <w:p>
            <w:r/>
            <w:r>
              <w:rPr>
                <w:rFonts w:eastAsia="Hiragino Sans" w:ascii="Hiragino Sans" w:hAnsi="Hiragino Sans"/>
                <w:b/>
                <w:color w:val="FFFFFF"/>
                <w:sz w:val="18"/>
              </w:rPr>
              <w:t>順序</w:t>
            </w:r>
          </w:p>
        </w:tc>
        <w:tc>
          <w:tcPr>
            <w:tcW w:type="dxa" w:w="1994"/>
            <w:shd w:val="clear" w:fill="24406B"/>
          </w:tcPr>
          <w:p>
            <w:r/>
            <w:r>
              <w:rPr>
                <w:rFonts w:eastAsia="Hiragino Sans" w:ascii="Hiragino Sans" w:hAnsi="Hiragino Sans"/>
                <w:b/>
                <w:color w:val="FFFFFF"/>
                <w:sz w:val="18"/>
              </w:rPr>
              <w:t>行数</w:t>
            </w:r>
          </w:p>
        </w:tc>
        <w:tc>
          <w:tcPr>
            <w:tcW w:type="dxa" w:w="1994"/>
            <w:shd w:val="clear" w:fill="24406B"/>
          </w:tcPr>
          <w:p>
            <w:r/>
            <w:r>
              <w:rPr>
                <w:rFonts w:eastAsia="Hiragino Sans" w:ascii="Hiragino Sans" w:hAnsi="Hiragino Sans"/>
                <w:b/>
                <w:color w:val="FFFFFF"/>
                <w:sz w:val="18"/>
              </w:rPr>
              <w:t>純資産への影響</w:t>
            </w:r>
          </w:p>
        </w:tc>
        <w:tc>
          <w:tcPr>
            <w:tcW w:type="dxa" w:w="1994"/>
            <w:shd w:val="clear" w:fill="24406B"/>
          </w:tcPr>
          <w:p>
            <w:r/>
            <w:r>
              <w:rPr>
                <w:rFonts w:eastAsia="Hiragino Sans" w:ascii="Hiragino Sans" w:hAnsi="Hiragino Sans"/>
                <w:b/>
                <w:color w:val="FFFFFF"/>
                <w:sz w:val="18"/>
              </w:rPr>
              <w:t>PLへの影響</w:t>
            </w:r>
          </w:p>
        </w:tc>
      </w:tr>
      <w:tr>
        <w:tc>
          <w:tcPr>
            <w:tcW w:type="dxa" w:w="1994"/>
          </w:tcPr>
          <w:p>
            <w:r/>
            <w:r>
              <w:rPr>
                <w:rFonts w:eastAsia="Hiragino Sans" w:ascii="Hiragino Sans" w:hAnsi="Hiragino Sans"/>
                <w:b w:val="0"/>
                <w:sz w:val="18"/>
              </w:rPr>
              <w:t>比較期首</w:t>
            </w:r>
          </w:p>
        </w:tc>
        <w:tc>
          <w:tcPr>
            <w:tcW w:type="dxa" w:w="1994"/>
          </w:tcPr>
          <w:p>
            <w:r/>
            <w:r>
              <w:rPr>
                <w:rFonts w:eastAsia="Hiragino Sans" w:ascii="Hiragino Sans" w:hAnsi="Hiragino Sans"/>
                <w:b w:val="0"/>
                <w:sz w:val="18"/>
              </w:rPr>
              <w:t>1 認識</w:t>
            </w:r>
          </w:p>
        </w:tc>
        <w:tc>
          <w:tcPr>
            <w:tcW w:type="dxa" w:w="1994"/>
          </w:tcPr>
          <w:p>
            <w:r/>
            <w:r>
              <w:rPr>
                <w:rFonts w:eastAsia="Hiragino Sans" w:ascii="Hiragino Sans" w:hAnsi="Hiragino Sans"/>
                <w:b w:val="0"/>
                <w:sz w:val="18"/>
              </w:rPr>
              <w:t>37</w:t>
            </w:r>
          </w:p>
        </w:tc>
        <w:tc>
          <w:tcPr>
            <w:tcW w:type="dxa" w:w="1994"/>
          </w:tcPr>
          <w:p>
            <w:r/>
            <w:r>
              <w:rPr>
                <w:rFonts w:eastAsia="Hiragino Sans" w:ascii="Hiragino Sans" w:hAnsi="Hiragino Sans"/>
                <w:b w:val="0"/>
                <w:sz w:val="18"/>
              </w:rPr>
              <w:t>△257,552.40</w:t>
            </w:r>
          </w:p>
        </w:tc>
        <w:tc>
          <w:tcPr>
            <w:tcW w:type="dxa" w:w="1994"/>
          </w:tcPr>
          <w:p>
            <w:r/>
            <w:r>
              <w:rPr>
                <w:rFonts w:eastAsia="Hiragino Sans" w:ascii="Hiragino Sans" w:hAnsi="Hiragino Sans"/>
                <w:b w:val="0"/>
                <w:sz w:val="18"/>
              </w:rPr>
              <w:t>0</w:t>
            </w:r>
          </w:p>
        </w:tc>
      </w:tr>
      <w:tr>
        <w:tc>
          <w:tcPr>
            <w:tcW w:type="dxa" w:w="1994"/>
            <w:shd w:val="clear" w:fill="F7F8FA"/>
          </w:tcPr>
          <w:p>
            <w:r/>
            <w:r>
              <w:rPr>
                <w:rFonts w:eastAsia="Hiragino Sans" w:ascii="Hiragino Sans" w:hAnsi="Hiragino Sans"/>
                <w:b w:val="0"/>
                <w:sz w:val="18"/>
              </w:rPr>
              <w:t>開始B/S</w:t>
            </w:r>
          </w:p>
        </w:tc>
        <w:tc>
          <w:tcPr>
            <w:tcW w:type="dxa" w:w="1994"/>
            <w:shd w:val="clear" w:fill="F7F8FA"/>
          </w:tcPr>
          <w:p>
            <w:r/>
            <w:r>
              <w:rPr>
                <w:rFonts w:eastAsia="Hiragino Sans" w:ascii="Hiragino Sans" w:hAnsi="Hiragino Sans"/>
                <w:b w:val="0"/>
                <w:sz w:val="18"/>
              </w:rPr>
              <w:t>1 認識</w:t>
            </w:r>
          </w:p>
        </w:tc>
        <w:tc>
          <w:tcPr>
            <w:tcW w:type="dxa" w:w="1994"/>
            <w:shd w:val="clear" w:fill="F7F8FA"/>
          </w:tcPr>
          <w:p>
            <w:r/>
            <w:r>
              <w:rPr>
                <w:rFonts w:eastAsia="Hiragino Sans" w:ascii="Hiragino Sans" w:hAnsi="Hiragino Sans"/>
                <w:b w:val="0"/>
                <w:sz w:val="18"/>
              </w:rPr>
              <w:t>50</w:t>
            </w:r>
          </w:p>
        </w:tc>
        <w:tc>
          <w:tcPr>
            <w:tcW w:type="dxa" w:w="1994"/>
            <w:shd w:val="clear" w:fill="F7F8FA"/>
          </w:tcPr>
          <w:p>
            <w:r/>
            <w:r>
              <w:rPr>
                <w:rFonts w:eastAsia="Hiragino Sans" w:ascii="Hiragino Sans" w:hAnsi="Hiragino Sans"/>
                <w:b w:val="0"/>
                <w:sz w:val="18"/>
              </w:rPr>
              <w:t>△70,100.40</w:t>
            </w:r>
          </w:p>
        </w:tc>
        <w:tc>
          <w:tcPr>
            <w:tcW w:type="dxa" w:w="1994"/>
            <w:shd w:val="clear" w:fill="F7F8FA"/>
          </w:tcPr>
          <w:p>
            <w:r/>
            <w:r>
              <w:rPr>
                <w:rFonts w:eastAsia="Hiragino Sans" w:ascii="Hiragino Sans" w:hAnsi="Hiragino Sans"/>
                <w:b w:val="0"/>
                <w:sz w:val="18"/>
              </w:rPr>
              <w:t>0</w:t>
            </w:r>
          </w:p>
        </w:tc>
      </w:tr>
      <w:tr>
        <w:tc>
          <w:tcPr>
            <w:tcW w:type="dxa" w:w="1994"/>
          </w:tcPr>
          <w:p>
            <w:r/>
            <w:r>
              <w:rPr>
                <w:rFonts w:eastAsia="Hiragino Sans" w:ascii="Hiragino Sans" w:hAnsi="Hiragino Sans"/>
                <w:b w:val="0"/>
                <w:sz w:val="18"/>
              </w:rPr>
              <w:t>開始B/S</w:t>
            </w:r>
          </w:p>
        </w:tc>
        <w:tc>
          <w:tcPr>
            <w:tcW w:type="dxa" w:w="1994"/>
          </w:tcPr>
          <w:p>
            <w:r/>
            <w:r>
              <w:rPr>
                <w:rFonts w:eastAsia="Hiragino Sans" w:ascii="Hiragino Sans" w:hAnsi="Hiragino Sans"/>
                <w:b w:val="0"/>
                <w:sz w:val="18"/>
              </w:rPr>
              <w:t>2 測定</w:t>
            </w:r>
          </w:p>
        </w:tc>
        <w:tc>
          <w:tcPr>
            <w:tcW w:type="dxa" w:w="1994"/>
          </w:tcPr>
          <w:p>
            <w:r/>
            <w:r>
              <w:rPr>
                <w:rFonts w:eastAsia="Hiragino Sans" w:ascii="Hiragino Sans" w:hAnsi="Hiragino Sans"/>
                <w:b w:val="0"/>
                <w:sz w:val="18"/>
              </w:rPr>
              <w:t>9</w:t>
            </w:r>
          </w:p>
        </w:tc>
        <w:tc>
          <w:tcPr>
            <w:tcW w:type="dxa" w:w="1994"/>
          </w:tcPr>
          <w:p>
            <w:r/>
            <w:r>
              <w:rPr>
                <w:rFonts w:eastAsia="Hiragino Sans" w:ascii="Hiragino Sans" w:hAnsi="Hiragino Sans"/>
                <w:b w:val="0"/>
                <w:sz w:val="18"/>
              </w:rPr>
              <w:t>0</w:t>
            </w:r>
          </w:p>
        </w:tc>
        <w:tc>
          <w:tcPr>
            <w:tcW w:type="dxa" w:w="1994"/>
          </w:tcPr>
          <w:p>
            <w:r/>
            <w:r>
              <w:rPr>
                <w:rFonts w:eastAsia="Hiragino Sans" w:ascii="Hiragino Sans" w:hAnsi="Hiragino Sans"/>
                <w:b w:val="0"/>
                <w:sz w:val="18"/>
              </w:rPr>
              <w:t>△777,308.99</w:t>
            </w:r>
          </w:p>
        </w:tc>
      </w:tr>
      <w:tr>
        <w:tc>
          <w:tcPr>
            <w:tcW w:type="dxa" w:w="1994"/>
            <w:shd w:val="clear" w:fill="F7F8FA"/>
          </w:tcPr>
          <w:p>
            <w:r/>
            <w:r>
              <w:rPr>
                <w:rFonts w:eastAsia="Hiragino Sans" w:ascii="Hiragino Sans" w:hAnsi="Hiragino Sans"/>
                <w:b w:val="0"/>
                <w:sz w:val="18"/>
              </w:rPr>
              <w:t>当期</w:t>
            </w:r>
          </w:p>
        </w:tc>
        <w:tc>
          <w:tcPr>
            <w:tcW w:type="dxa" w:w="1994"/>
            <w:shd w:val="clear" w:fill="F7F8FA"/>
          </w:tcPr>
          <w:p>
            <w:r/>
            <w:r>
              <w:rPr>
                <w:rFonts w:eastAsia="Hiragino Sans" w:ascii="Hiragino Sans" w:hAnsi="Hiragino Sans"/>
                <w:b w:val="0"/>
                <w:sz w:val="18"/>
              </w:rPr>
              <w:t>1 認識</w:t>
            </w:r>
          </w:p>
        </w:tc>
        <w:tc>
          <w:tcPr>
            <w:tcW w:type="dxa" w:w="1994"/>
            <w:shd w:val="clear" w:fill="F7F8FA"/>
          </w:tcPr>
          <w:p>
            <w:r/>
            <w:r>
              <w:rPr>
                <w:rFonts w:eastAsia="Hiragino Sans" w:ascii="Hiragino Sans" w:hAnsi="Hiragino Sans"/>
                <w:b w:val="0"/>
                <w:sz w:val="18"/>
              </w:rPr>
              <w:t>17</w:t>
            </w:r>
          </w:p>
        </w:tc>
        <w:tc>
          <w:tcPr>
            <w:tcW w:type="dxa" w:w="1994"/>
            <w:shd w:val="clear" w:fill="F7F8FA"/>
          </w:tcPr>
          <w:p>
            <w:r/>
            <w:r>
              <w:rPr>
                <w:rFonts w:eastAsia="Hiragino Sans" w:ascii="Hiragino Sans" w:hAnsi="Hiragino Sans"/>
                <w:b w:val="0"/>
                <w:sz w:val="18"/>
              </w:rPr>
              <w:t>0</w:t>
            </w:r>
          </w:p>
        </w:tc>
        <w:tc>
          <w:tcPr>
            <w:tcW w:type="dxa" w:w="1994"/>
            <w:shd w:val="clear" w:fill="F7F8FA"/>
          </w:tcPr>
          <w:p>
            <w:r/>
            <w:r>
              <w:rPr>
                <w:rFonts w:eastAsia="Hiragino Sans" w:ascii="Hiragino Sans" w:hAnsi="Hiragino Sans"/>
                <w:b w:val="0"/>
                <w:sz w:val="18"/>
              </w:rPr>
              <w:t>△60,711.44</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比較期首の △257,552.40 は遡及適用を選んだ収益認識（△104,502.40）・引当金（△313,050）・企業結合（</w:t>
      </w:r>
      <w:r>
        <w:rPr>
          <w:rFonts w:eastAsia="Hiragino Sans" w:ascii="Hiragino Sans" w:hAnsi="Hiragino Sans"/>
          <w:b/>
          <w:i/>
          <w:color w:val="444444"/>
          <w:sz w:val="18"/>
        </w:rPr>
        <w:t>＋160,000</w:t>
      </w:r>
      <w:r>
        <w:rPr>
          <w:rFonts w:eastAsia="Hiragino Sans" w:ascii="Hiragino Sans" w:hAnsi="Hiragino Sans"/>
          <w:b w:val="0"/>
          <w:i/>
          <w:color w:val="444444"/>
          <w:sz w:val="18"/>
        </w:rPr>
        <w:t>）の累積的影響額。開始B/S・順序1の △70,100.40 はその</w:t>
      </w:r>
      <w:r>
        <w:rPr>
          <w:rFonts w:eastAsia="Hiragino Sans" w:ascii="Hiragino Sans" w:hAnsi="Hiragino Sans"/>
          <w:b/>
          <w:i/>
          <w:color w:val="444444"/>
          <w:sz w:val="18"/>
        </w:rPr>
        <w:t>比較年度中の変動</w:t>
      </w:r>
      <w:r>
        <w:rPr>
          <w:rFonts w:eastAsia="Hiragino Sans" w:ascii="Hiragino Sans" w:hAnsi="Hiragino Sans"/>
          <w:b w:val="0"/>
          <w:i/>
          <w:color w:val="444444"/>
          <w:sz w:val="18"/>
        </w:rPr>
        <w:t xml:space="preserve">（収益認識 △13,650.40・引当金 △36,450・企業結合 △20,000＝のれん等の償却費）である（リース（簡便法）は純資産を動かさない）。⚠️ </w:t>
      </w:r>
      <w:r>
        <w:rPr>
          <w:rFonts w:eastAsia="Hiragino Sans" w:ascii="Hiragino Sans" w:hAnsi="Hiragino Sans"/>
          <w:b/>
          <w:i/>
          <w:color w:val="444444"/>
          <w:sz w:val="18"/>
        </w:rPr>
        <w:t>企業結合は符号が逆で、比較期首の利益剰余金が増える。</w:t>
      </w:r>
      <w:r>
        <w:rPr>
          <w:rFonts w:eastAsia="Hiragino Sans" w:ascii="Hiragino Sans" w:hAnsi="Hiragino Sans"/>
          <w:b w:val="0"/>
          <w:i/>
          <w:color w:val="444444"/>
          <w:sz w:val="18"/>
        </w:rPr>
        <w:t>「移行差異は純資産の減少」と決めつけると必ず外す。資産除去債務は時点「当期」に置いている——第18項により、期首の債務（259,045.32）と期首の除去費用（200,733.88）は一致せず、差額の58,311.44は適用初年度の特別損失になる。敷金の簡便法を採った本社事務所の費用配分済み額 2,400 も同じ時点に置く。</w:t>
      </w:r>
      <w:r>
        <w:rPr>
          <w:rFonts w:eastAsia="Hiragino Sans" w:ascii="Hiragino Sans" w:hAnsi="Hiragino Sans"/>
          <w:b/>
          <w:i/>
          <w:color w:val="444444"/>
          <w:sz w:val="18"/>
        </w:rPr>
        <w:t>性格の違うものが、時点と順序で自然に分かれている。</w:t>
      </w:r>
    </w:p>
    <w:p>
      <w:pPr>
        <w:pStyle w:val="Heading1"/>
      </w:pPr>
      <w:r>
        <w:t>5. 母集団の穴を双方向に検知する</w:t>
      </w:r>
    </w:p>
    <w:p>
      <w:pPr>
        <w:spacing w:after="80"/>
      </w:pPr>
      <w:r>
        <w:rPr>
          <w:rFonts w:eastAsia="Hiragino Sans" w:ascii="Hiragino Sans" w:hAnsi="Hiragino Sans"/>
          <w:b w:val="0"/>
          <w:i w:val="0"/>
        </w:rPr>
        <w:t>主キー（契約×資産）と各調書の明細を、</w:t>
      </w:r>
      <w:r>
        <w:rPr>
          <w:rFonts w:eastAsia="Hiragino Sans" w:ascii="Hiragino Sans" w:hAnsi="Hiragino Sans"/>
          <w:b/>
          <w:i w:val="0"/>
        </w:rPr>
        <w:t>双方向</w:t>
      </w:r>
      <w:r>
        <w:rPr>
          <w:rFonts w:eastAsia="Hiragino Sans" w:ascii="Hiragino Sans" w:hAnsi="Hiragino Sans"/>
          <w:b w:val="0"/>
          <w:i w:val="0"/>
        </w:rPr>
        <w:t>に突き合わせる。</w:t>
      </w:r>
    </w:p>
    <w:p>
      <w:pPr>
        <w:pStyle w:val="ListBullet"/>
        <w:ind w:left="240"/>
      </w:pPr>
      <w:r>
        <w:rPr>
          <w:rFonts w:eastAsia="Hiragino Sans" w:ascii="Hiragino Sans" w:hAnsi="Hiragino Sans"/>
          <w:b w:val="0"/>
          <w:sz w:val="20"/>
        </w:rPr>
        <w:t>(a) 主キーでフラグが立つのに、当該調書に明細も除外の記録も無い</w:t>
      </w:r>
    </w:p>
    <w:p>
      <w:pPr>
        <w:pStyle w:val="ListBullet"/>
        <w:ind w:left="240"/>
      </w:pPr>
      <w:r>
        <w:rPr>
          <w:rFonts w:eastAsia="Hiragino Sans" w:ascii="Hiragino Sans" w:hAnsi="Hiragino Sans"/>
          <w:b w:val="0"/>
          <w:sz w:val="20"/>
        </w:rPr>
        <w:t>(b) 調書に明細があるのに、主キーに行が無い</w:t>
      </w:r>
    </w:p>
    <w:p>
      <w:pPr>
        <w:spacing w:after="80"/>
      </w:pPr>
      <w:r>
        <w:rPr>
          <w:rFonts w:eastAsia="Hiragino Sans" w:ascii="Hiragino Sans" w:hAnsi="Hiragino Sans"/>
          <w:b w:val="0"/>
          <w:i w:val="0"/>
        </w:rPr>
        <w:t>片方向だけだと「入れたものは全部ある」ことしか言えず、</w:t>
      </w:r>
      <w:r>
        <w:rPr>
          <w:rFonts w:eastAsia="Hiragino Sans" w:ascii="Hiragino Sans" w:hAnsi="Hiragino Sans"/>
          <w:b/>
          <w:i w:val="0"/>
        </w:rPr>
        <w:t>漏れは見つからない</w:t>
      </w:r>
      <w:r>
        <w:rPr>
          <w:rFonts w:eastAsia="Hiragino Sans" w:ascii="Hiragino Sans" w:hAnsi="Hiragino Sans"/>
          <w:b w:val="0"/>
          <w:i w:val="0"/>
        </w:rPr>
        <w:t>。</w:t>
      </w:r>
    </w:p>
    <w:p>
      <w:pPr>
        <w:pStyle w:val="Heading2"/>
      </w:pPr>
      <w:r>
        <w:t>検知した3件（2026年9月7日に是正済み）</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キー</w:t>
            </w:r>
          </w:p>
        </w:tc>
        <w:tc>
          <w:tcPr>
            <w:tcW w:type="dxa" w:w="2493"/>
            <w:shd w:val="clear" w:fill="24406B"/>
          </w:tcPr>
          <w:p>
            <w:r/>
            <w:r>
              <w:rPr>
                <w:rFonts w:eastAsia="Hiragino Sans" w:ascii="Hiragino Sans" w:hAnsi="Hiragino Sans"/>
                <w:b/>
                <w:color w:val="FFFFFF"/>
                <w:sz w:val="18"/>
              </w:rPr>
              <w:t>何が起きていたか</w:t>
            </w:r>
          </w:p>
        </w:tc>
        <w:tc>
          <w:tcPr>
            <w:tcW w:type="dxa" w:w="2493"/>
            <w:shd w:val="clear" w:fill="24406B"/>
          </w:tcPr>
          <w:p>
            <w:r/>
            <w:r>
              <w:rPr>
                <w:rFonts w:eastAsia="Hiragino Sans" w:ascii="Hiragino Sans" w:hAnsi="Hiragino Sans"/>
                <w:b/>
                <w:color w:val="FFFFFF"/>
                <w:sz w:val="18"/>
              </w:rPr>
              <w:t>内容</w:t>
            </w:r>
          </w:p>
        </w:tc>
        <w:tc>
          <w:tcPr>
            <w:tcW w:type="dxa" w:w="2493"/>
            <w:shd w:val="clear" w:fill="24406B"/>
          </w:tcPr>
          <w:p>
            <w:r/>
            <w:r>
              <w:rPr>
                <w:rFonts w:eastAsia="Hiragino Sans" w:ascii="Hiragino Sans" w:hAnsi="Hiragino Sans"/>
                <w:b/>
                <w:color w:val="FFFFFF"/>
                <w:sz w:val="18"/>
              </w:rPr>
              <w:t>扱い</w:t>
            </w:r>
          </w:p>
        </w:tc>
      </w:tr>
      <w:tr>
        <w:tc>
          <w:tcPr>
            <w:tcW w:type="dxa" w:w="2493"/>
          </w:tcPr>
          <w:p>
            <w:r/>
            <w:r>
              <w:rPr>
                <w:rFonts w:eastAsia="Hiragino Sans" w:ascii="Hiragino Sans" w:hAnsi="Hiragino Sans"/>
                <w:b w:val="0"/>
                <w:sz w:val="18"/>
              </w:rPr>
              <w:t>A-2010</w:t>
            </w:r>
          </w:p>
        </w:tc>
        <w:tc>
          <w:tcPr>
            <w:tcW w:type="dxa" w:w="2493"/>
          </w:tcPr>
          <w:p>
            <w:r/>
            <w:r>
              <w:rPr>
                <w:rFonts w:eastAsia="Hiragino Sans" w:ascii="Hiragino Sans" w:hAnsi="Hiragino Sans"/>
                <w:b/>
                <w:sz w:val="18"/>
              </w:rPr>
              <w:t>使用権資産の金額が2つあった</w:t>
            </w:r>
          </w:p>
        </w:tc>
        <w:tc>
          <w:tcPr>
            <w:tcW w:type="dxa" w:w="2493"/>
          </w:tcPr>
          <w:p>
            <w:r/>
            <w:r>
              <w:rPr>
                <w:rFonts w:eastAsia="Hiragino Sans" w:ascii="Hiragino Sans" w:hAnsi="Hiragino Sans"/>
                <w:b w:val="0"/>
                <w:sz w:val="18"/>
              </w:rPr>
              <w:t>リース調書 745,145.42 ／ 固定資産台帳 280,000（差 465,145.42）</w:t>
            </w:r>
          </w:p>
        </w:tc>
        <w:tc>
          <w:tcPr>
            <w:tcW w:type="dxa" w:w="2493"/>
          </w:tcPr>
          <w:p>
            <w:r/>
            <w:r>
              <w:rPr>
                <w:rFonts w:eastAsia="Hiragino Sans" w:ascii="Hiragino Sans" w:hAnsi="Hiragino Sans"/>
                <w:b w:val="0"/>
                <w:sz w:val="18"/>
              </w:rPr>
              <w:t>台帳の値をリース調書の出力から導出するよう改め、一本化</w:t>
            </w:r>
          </w:p>
        </w:tc>
      </w:tr>
      <w:tr>
        <w:tc>
          <w:tcPr>
            <w:tcW w:type="dxa" w:w="2493"/>
            <w:shd w:val="clear" w:fill="F7F8FA"/>
          </w:tcPr>
          <w:p>
            <w:r/>
            <w:r>
              <w:rPr>
                <w:rFonts w:eastAsia="Hiragino Sans" w:ascii="Hiragino Sans" w:hAnsi="Hiragino Sans"/>
                <w:b w:val="0"/>
                <w:sz w:val="18"/>
              </w:rPr>
              <w:t>R-01</w:t>
            </w:r>
          </w:p>
        </w:tc>
        <w:tc>
          <w:tcPr>
            <w:tcW w:type="dxa" w:w="2493"/>
            <w:shd w:val="clear" w:fill="F7F8FA"/>
          </w:tcPr>
          <w:p>
            <w:r/>
            <w:r>
              <w:rPr>
                <w:rFonts w:eastAsia="Hiragino Sans" w:ascii="Hiragino Sans" w:hAnsi="Hiragino Sans"/>
                <w:b w:val="0"/>
                <w:sz w:val="18"/>
              </w:rPr>
              <w:t>除去費用が固定資産台帳に未加算</w:t>
            </w:r>
          </w:p>
        </w:tc>
        <w:tc>
          <w:tcPr>
            <w:tcW w:type="dxa" w:w="2493"/>
            <w:shd w:val="clear" w:fill="F7F8FA"/>
          </w:tcPr>
          <w:p>
            <w:r/>
            <w:r>
              <w:rPr>
                <w:rFonts w:eastAsia="Hiragino Sans" w:ascii="Hiragino Sans" w:hAnsi="Hiragino Sans"/>
                <w:b w:val="0"/>
                <w:sz w:val="18"/>
              </w:rPr>
              <w:t>除去費用を加算した取得原価で減損を判定していなかった</w:t>
            </w:r>
          </w:p>
        </w:tc>
        <w:tc>
          <w:tcPr>
            <w:tcW w:type="dxa" w:w="2493"/>
            <w:shd w:val="clear" w:fill="F7F8FA"/>
          </w:tcPr>
          <w:p>
            <w:r/>
            <w:r>
              <w:rPr>
                <w:rFonts w:eastAsia="Hiragino Sans" w:ascii="Hiragino Sans" w:hAnsi="Hiragino Sans"/>
                <w:b w:val="0"/>
                <w:sz w:val="18"/>
              </w:rPr>
              <w:t>第18項で算定した期首の除去費用（償却後）を台帳に導出で加算</w:t>
            </w:r>
          </w:p>
        </w:tc>
      </w:tr>
      <w:tr>
        <w:tc>
          <w:tcPr>
            <w:tcW w:type="dxa" w:w="2493"/>
          </w:tcPr>
          <w:p>
            <w:r/>
            <w:r>
              <w:rPr>
                <w:rFonts w:eastAsia="Hiragino Sans" w:ascii="Hiragino Sans" w:hAnsi="Hiragino Sans"/>
                <w:b w:val="0"/>
                <w:sz w:val="18"/>
              </w:rPr>
              <w:t>R-04</w:t>
            </w:r>
          </w:p>
        </w:tc>
        <w:tc>
          <w:tcPr>
            <w:tcW w:type="dxa" w:w="2493"/>
          </w:tcPr>
          <w:p>
            <w:r/>
            <w:r>
              <w:rPr>
                <w:rFonts w:eastAsia="Hiragino Sans" w:ascii="Hiragino Sans" w:hAnsi="Hiragino Sans"/>
                <w:b w:val="0"/>
                <w:sz w:val="18"/>
              </w:rPr>
              <w:t>主キーに行が無い</w:t>
            </w:r>
          </w:p>
        </w:tc>
        <w:tc>
          <w:tcPr>
            <w:tcW w:type="dxa" w:w="2493"/>
          </w:tcPr>
          <w:p>
            <w:r/>
            <w:r>
              <w:rPr>
                <w:rFonts w:eastAsia="Hiragino Sans" w:ascii="Hiragino Sans" w:hAnsi="Hiragino Sans"/>
                <w:b w:val="0"/>
                <w:sz w:val="18"/>
              </w:rPr>
              <w:t>太陽光発電設備の撤去義務は調書にあるが、主キーに対応する行が無かった</w:t>
            </w:r>
          </w:p>
        </w:tc>
        <w:tc>
          <w:tcPr>
            <w:tcW w:type="dxa" w:w="2493"/>
          </w:tcPr>
          <w:p>
            <w:r/>
            <w:r>
              <w:rPr>
                <w:rFonts w:eastAsia="Hiragino Sans" w:ascii="Hiragino Sans" w:hAnsi="Hiragino Sans"/>
                <w:b w:val="0"/>
                <w:sz w:val="18"/>
              </w:rPr>
              <w:t>主キーと台帳に資産行を追加</w:t>
            </w:r>
          </w:p>
        </w:tc>
      </w:tr>
    </w:tbl>
    <w:p>
      <w:pPr>
        <w:spacing w:after="40"/>
      </w:pPr>
    </w:p>
    <w:p>
      <w:pPr>
        <w:ind w:left="120"/>
        <w:shd w:val="clear" w:fill="F3F4F6"/>
        <w:pBdr>
          <w:left w:val="single" w:sz="18" w:space="6" w:color="24406B"/>
        </w:pBdr>
      </w:pPr>
      <w:r>
        <w:rPr>
          <w:rFonts w:eastAsia="Hiragino Sans" w:ascii="Hiragino Sans" w:hAnsi="Hiragino Sans"/>
          <w:b w:val="0"/>
          <w:i/>
          <w:color w:val="444444"/>
          <w:sz w:val="18"/>
        </w:rPr>
        <w:t>⚠️ 是正は「どちらの値が正しいかを人が選ぶ」形では行っていない。</w:t>
      </w:r>
      <w:r>
        <w:rPr>
          <w:rFonts w:eastAsia="Hiragino Sans" w:ascii="Hiragino Sans" w:hAnsi="Hiragino Sans"/>
          <w:b/>
          <w:i/>
          <w:color w:val="444444"/>
          <w:sz w:val="18"/>
        </w:rPr>
        <w:t>順序を固定した以上、台帳の値は順序1の出力から導出されるべきもの</w:t>
      </w:r>
      <w:r>
        <w:rPr>
          <w:rFonts w:eastAsia="Hiragino Sans" w:ascii="Hiragino Sans" w:hAnsi="Hiragino Sans"/>
          <w:b w:val="0"/>
          <w:i/>
          <w:color w:val="444444"/>
          <w:sz w:val="18"/>
        </w:rPr>
        <w:t>であり、独立に入力してよい値ではない。導出に変えた結果、減損の帳簿価額が増え、減損損失の合計は 802,000 → 777,308.99 千円に変わった。訂正の来歴は添付Excelの00シートに残している。</w:t>
      </w:r>
    </w:p>
    <w:p>
      <w:pPr>
        <w:ind w:left="120"/>
        <w:shd w:val="clear" w:fill="F3F4F6"/>
        <w:pBdr>
          <w:left w:val="single" w:sz="18" w:space="6" w:color="24406B"/>
        </w:pBdr>
      </w:pPr>
      <w:r>
        <w:rPr>
          <w:rFonts w:eastAsia="Hiragino Sans" w:ascii="Hiragino Sans" w:hAnsi="Hiragino Sans"/>
          <w:b w:val="0"/>
          <w:i/>
          <w:color w:val="444444"/>
          <w:sz w:val="18"/>
        </w:rPr>
      </w: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検知は導出前の台帳に対して走らせる。</w:t>
      </w:r>
      <w:r>
        <w:rPr>
          <w:rFonts w:eastAsia="Hiragino Sans" w:ascii="Hiragino Sans" w:hAnsi="Hiragino Sans"/>
          <w:b w:val="0"/>
          <w:i/>
          <w:color w:val="444444"/>
          <w:sz w:val="18"/>
        </w:rPr>
        <w:t xml:space="preserve"> 導出後の台帳だけを見ると、台帳が食い違っていても検知が構造的に出ない。導出で消えた差異（使用権資産1件・除去費用4件）は08シートに「導出で是正した差異」として来歴を残している。旧3件の解消は「検知器が沈黙した」のではなく「導出前に検知し、導出で置き換えた」結果である。</w:t>
      </w:r>
    </w:p>
    <w:p>
      <w:pPr>
        <w:ind w:left="120"/>
        <w:shd w:val="clear" w:fill="F3F4F6"/>
        <w:pBdr>
          <w:left w:val="single" w:sz="18" w:space="6" w:color="24406B"/>
        </w:pBdr>
      </w:pPr>
      <w:r>
        <w:rPr>
          <w:rFonts w:eastAsia="Hiragino Sans" w:ascii="Hiragino Sans" w:hAnsi="Hiragino Sans"/>
          <w:b w:val="0"/>
          <w:i/>
          <w:color w:val="444444"/>
          <w:sz w:val="18"/>
        </w:rPr>
      </w: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検知器を厳密にした結果、新たに2件が検知された（2026年9月8日）。</w:t>
      </w:r>
      <w:r>
        <w:rPr>
          <w:rFonts w:eastAsia="Hiragino Sans" w:ascii="Hiragino Sans" w:hAnsi="Hiragino Sans"/>
          <w:b w:val="0"/>
          <w:i/>
          <w:color w:val="444444"/>
          <w:sz w:val="18"/>
        </w:rPr>
        <w:t xml:space="preserve"> ①C-009「賃借倉庫（造作あり）」は主キーでリースなのにリースキットに対応する契約が無い（従来は契約IDが空だと検知を素通りしていた）②C-002「第二工場 建屋賃借」は原状回復条項があるのにAROキットに対応する債務が無い（従来は名前の先頭4文字の部分一致で R-03「第二工場 借地」に誤マッチしていた）。いずれも「埋めずに出す」対象として決裁に回し、同日に処置した——①は賃料0の使用貸借であり対価が無くリースの定義を満たさないと判定して除外理由を主キーに記録（Y-316）、②は R-05 として AROキットに追加し、除去費用は使用権資産 A-2010 に加算（Y-317）。あわせて敷金の簡便法を採った本社事務所の、移行日までの費用配分済み額 2,400 を差入保証金から落とす移行仕訳を追加した（Y-319）。</w:t>
      </w:r>
    </w:p>
    <w:p>
      <w:pPr>
        <w:ind w:left="120"/>
        <w:shd w:val="clear" w:fill="F3F4F6"/>
        <w:pBdr>
          <w:left w:val="single" w:sz="18" w:space="6" w:color="24406B"/>
        </w:pBdr>
      </w:pPr>
      <w:r>
        <w:rPr>
          <w:rFonts w:eastAsia="Hiragino Sans" w:ascii="Hiragino Sans" w:hAnsi="Hiragino Sans"/>
          <w:b w:val="0"/>
          <w:i/>
          <w:color w:val="444444"/>
          <w:sz w:val="18"/>
        </w:rPr>
      </w: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現在の未解決は3件で、これは意図した状態である（2026年9月9日・企業結合キットの追加）。</w:t>
      </w:r>
      <w:r>
        <w:rPr>
          <w:rFonts w:eastAsia="Hiragino Sans" w:ascii="Hiragino Sans" w:hAnsi="Hiragino Sans"/>
          <w:b w:val="0"/>
          <w:i/>
          <w:color w:val="444444"/>
          <w:sz w:val="18"/>
        </w:rPr>
        <w:t xml:space="preserve"> 企業結合で認識した のれん（BC-03）・顧客関連資産（BC-01）・商標権（BC-02）は固定資産であり減損の対象だが、</w:t>
      </w:r>
      <w:r>
        <w:rPr>
          <w:rFonts w:eastAsia="Hiragino Sans" w:ascii="Hiragino Sans" w:hAnsi="Hiragino Sans"/>
          <w:b/>
          <w:i/>
          <w:color w:val="444444"/>
          <w:sz w:val="18"/>
        </w:rPr>
        <w:t>減損キットの固定資産台帳に入れていない</w:t>
      </w:r>
      <w:r>
        <w:rPr>
          <w:rFonts w:eastAsia="Hiragino Sans" w:ascii="Hiragino Sans" w:hAnsi="Hiragino Sans"/>
          <w:b w:val="0"/>
          <w:i/>
          <w:color w:val="444444"/>
          <w:sz w:val="18"/>
        </w:rPr>
        <w:t>。のれんは「のれんを含むより大きな単位」でグルーピングする必要があり、台帳への追加は減損キットの構造の拡張を伴う。台帳に入れるなら回収可能価額の見積りも同じ日に見直さなければならない（分母だけ増やして分子の前提を古いまま残さない）。</w:t>
      </w:r>
      <w:r>
        <w:rPr>
          <w:rFonts w:eastAsia="Hiragino Sans" w:ascii="Hiragino Sans" w:hAnsi="Hiragino Sans"/>
          <w:b/>
          <w:i/>
          <w:color w:val="444444"/>
          <w:sz w:val="18"/>
        </w:rPr>
        <w:t>中途半端に入れず、母集団の穴として検知に出したうえで次の決裁に回している。</w:t>
      </w:r>
    </w:p>
    <w:p>
      <w:pPr>
        <w:ind w:left="120"/>
        <w:shd w:val="clear" w:fill="F3F4F6"/>
        <w:pBdr>
          <w:left w:val="single" w:sz="18" w:space="6" w:color="24406B"/>
        </w:pBdr>
      </w:pPr>
      <w:r>
        <w:rPr>
          <w:rFonts w:eastAsia="Hiragino Sans" w:ascii="Hiragino Sans" w:hAnsi="Hiragino Sans"/>
          <w:b w:val="0"/>
          <w:i/>
          <w:color w:val="444444"/>
          <w:sz w:val="18"/>
        </w:rPr>
      </w: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限界。</w:t>
      </w:r>
      <w:r>
        <w:rPr>
          <w:rFonts w:eastAsia="Hiragino Sans" w:ascii="Hiragino Sans" w:hAnsi="Hiragino Sans"/>
          <w:b w:val="0"/>
          <w:i/>
          <w:color w:val="444444"/>
          <w:sz w:val="18"/>
        </w:rPr>
        <w:t xml:space="preserve"> 台帳の帳簿価額は導出で増えたが、減損の回収可能価額の見積り（割引前将来キャッシュ・フロー・正味売却価額・使用価値）は導出前の見積りのままである。使用権資産を含む資産グループの将来キャッシュ・フローの扱いは第35号（注解（注12）の改正）の原文で確認して見積り直すこと（要確認）。</w:t>
      </w:r>
    </w:p>
    <w:p>
      <w:pPr>
        <w:ind w:left="120"/>
        <w:shd w:val="clear" w:fill="F3F4F6"/>
        <w:pBdr>
          <w:left w:val="single" w:sz="18" w:space="6" w:color="24406B"/>
        </w:pBdr>
      </w:pPr>
      <w:r>
        <w:rPr>
          <w:rFonts w:eastAsia="Hiragino Sans" w:ascii="Hiragino Sans" w:hAnsi="Hiragino Sans"/>
          <w:b w:val="0"/>
          <w:i/>
          <w:color w:val="444444"/>
          <w:sz w:val="18"/>
        </w:rPr>
      </w:r>
    </w:p>
    <w:p>
      <w:pPr>
        <w:ind w:left="120"/>
        <w:shd w:val="clear" w:fill="F3F4F6"/>
        <w:pBdr>
          <w:left w:val="single" w:sz="18" w:space="6" w:color="24406B"/>
        </w:pBdr>
      </w:pPr>
      <w:r>
        <w:rPr>
          <w:rFonts w:eastAsia="Hiragino Sans" w:ascii="Hiragino Sans" w:hAnsi="Hiragino Sans"/>
          <w:b w:val="0"/>
          <w:i/>
          <w:color w:val="444444"/>
          <w:sz w:val="18"/>
        </w:rPr>
        <w:t>検知は発見後すぐには直さず、決裁（Y-296）を経てから再計算した。</w:t>
      </w:r>
      <w:r>
        <w:rPr>
          <w:rFonts w:eastAsia="Hiragino Sans" w:ascii="Hiragino Sans" w:hAnsi="Hiragino Sans"/>
          <w:b/>
          <w:i/>
          <w:color w:val="444444"/>
          <w:sz w:val="18"/>
        </w:rPr>
        <w:t>整合しているように見せたまま訂正を重ねると、検算の合格表示そのものが信用を失う。</w:t>
      </w:r>
    </w:p>
    <w:p>
      <w:pPr>
        <w:pStyle w:val="Heading1"/>
      </w:pPr>
      <w:r>
        <w:t>6. なぜ主キーを1つにするのか</w:t>
      </w:r>
    </w:p>
    <w:p>
      <w:pPr>
        <w:spacing w:after="80"/>
      </w:pPr>
      <w:r>
        <w:rPr>
          <w:rFonts w:eastAsia="Hiragino Sans" w:ascii="Hiragino Sans" w:hAnsi="Hiragino Sans"/>
          <w:b/>
          <w:i w:val="0"/>
        </w:rPr>
        <w:t>1本の契約が、リース／収益認識／資産除去債務／減損／繰延資産に同時に効く。</w:t>
      </w:r>
      <w:r>
        <w:rPr>
          <w:rFonts w:eastAsia="Hiragino Sans" w:ascii="Hiragino Sans" w:hAnsi="Hiragino Sans"/>
          <w:b w:val="0"/>
          <w:i w:val="0"/>
        </w:rPr>
        <w:t xml:space="preserve"> 固定資産台帳も、減損／減価償却／資産除去債務／リースに同時に効く。</w:t>
      </w:r>
    </w:p>
    <w:p>
      <w:pPr>
        <w:spacing w:after="80"/>
      </w:pPr>
      <w:r>
        <w:rPr>
          <w:rFonts w:eastAsia="Hiragino Sans" w:ascii="Hiragino Sans" w:hAnsi="Hiragino Sans"/>
          <w:b w:val="0"/>
          <w:i w:val="0"/>
        </w:rPr>
        <w:t>契約IDと資産コードを共通キーにしないと、</w:t>
      </w:r>
      <w:r>
        <w:rPr>
          <w:rFonts w:eastAsia="Hiragino Sans" w:ascii="Hiragino Sans" w:hAnsi="Hiragino Sans"/>
          <w:b/>
          <w:i w:val="0"/>
        </w:rPr>
        <w:t>同じ契約書を5回読み、しかも結論が食い違う</w:t>
      </w:r>
      <w:r>
        <w:rPr>
          <w:rFonts w:eastAsia="Hiragino Sans" w:ascii="Hiragino Sans" w:hAnsi="Hiragino Sans"/>
          <w:b w:val="0"/>
          <w:i w:val="0"/>
        </w:rPr>
        <w:t>。実際、本件でも第二工場の建屋賃借（C-002）が、リース調書では契約L-02、固定資産台帳では資産A-2010として別々に扱われ、金額が465,145.42千円食い違っていた（是正後は導出で一本化）。</w:t>
      </w:r>
    </w:p>
    <w:p>
      <w:pPr>
        <w:pStyle w:val="Heading1"/>
      </w:pPr>
      <w:r>
        <w:t>7. 人が決めること（AIが埋めてはならない箇所）</w:t>
      </w:r>
    </w:p>
    <w:p>
      <w:pPr>
        <w:spacing w:after="80"/>
      </w:pPr>
      <w:r>
        <w:rPr>
          <w:rFonts w:eastAsia="Hiragino Sans" w:ascii="Hiragino Sans" w:hAnsi="Hiragino Sans"/>
          <w:b w:val="0"/>
          <w:i w:val="0"/>
        </w:rPr>
        <w:t>添付Excelの緑色のセルは、すべて人が判断する箇所である。</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シート</w:t>
            </w:r>
          </w:p>
        </w:tc>
        <w:tc>
          <w:tcPr>
            <w:tcW w:type="dxa" w:w="3324"/>
            <w:shd w:val="clear" w:fill="24406B"/>
          </w:tcPr>
          <w:p>
            <w:r/>
            <w:r>
              <w:rPr>
                <w:rFonts w:eastAsia="Hiragino Sans" w:ascii="Hiragino Sans" w:hAnsi="Hiragino Sans"/>
                <w:b/>
                <w:color w:val="FFFFFF"/>
                <w:sz w:val="18"/>
              </w:rPr>
              <w:t>人が決めること</w:t>
            </w:r>
          </w:p>
        </w:tc>
        <w:tc>
          <w:tcPr>
            <w:tcW w:type="dxa" w:w="3324"/>
            <w:shd w:val="clear" w:fill="24406B"/>
          </w:tcPr>
          <w:p>
            <w:r/>
            <w:r>
              <w:rPr>
                <w:rFonts w:eastAsia="Hiragino Sans" w:ascii="Hiragino Sans" w:hAnsi="Hiragino Sans"/>
                <w:b/>
                <w:color w:val="FFFFFF"/>
                <w:sz w:val="18"/>
              </w:rPr>
              <w:t>なぜ機械に任せられないか</w:t>
            </w:r>
          </w:p>
        </w:tc>
      </w:tr>
      <w:tr>
        <w:tc>
          <w:tcPr>
            <w:tcW w:type="dxa" w:w="3324"/>
          </w:tcPr>
          <w:p>
            <w:r/>
            <w:r>
              <w:rPr>
                <w:rFonts w:eastAsia="Hiragino Sans" w:ascii="Hiragino Sans" w:hAnsi="Hiragino Sans"/>
                <w:b w:val="0"/>
                <w:sz w:val="18"/>
              </w:rPr>
              <w:t>02</w:t>
            </w:r>
          </w:p>
        </w:tc>
        <w:tc>
          <w:tcPr>
            <w:tcW w:type="dxa" w:w="3324"/>
          </w:tcPr>
          <w:p>
            <w:r/>
            <w:r>
              <w:rPr>
                <w:rFonts w:eastAsia="Hiragino Sans" w:ascii="Hiragino Sans" w:hAnsi="Hiragino Sans"/>
                <w:b w:val="0"/>
                <w:sz w:val="18"/>
              </w:rPr>
              <w:t>契約がリースに該当するか、原状回復条項があるか、使用権資産か</w:t>
            </w:r>
          </w:p>
        </w:tc>
        <w:tc>
          <w:tcPr>
            <w:tcW w:type="dxa" w:w="3324"/>
          </w:tcPr>
          <w:p>
            <w:r/>
            <w:r>
              <w:rPr>
                <w:rFonts w:eastAsia="Hiragino Sans" w:ascii="Hiragino Sans" w:hAnsi="Hiragino Sans"/>
                <w:b w:val="0"/>
                <w:sz w:val="18"/>
              </w:rPr>
              <w:t>契約書を読んで判定する。ここが誤ると下流の母集団がまとめて狂う</w:t>
            </w:r>
          </w:p>
        </w:tc>
      </w:tr>
      <w:tr>
        <w:tc>
          <w:tcPr>
            <w:tcW w:type="dxa" w:w="3324"/>
            <w:shd w:val="clear" w:fill="F7F8FA"/>
          </w:tcPr>
          <w:p>
            <w:r/>
            <w:r>
              <w:rPr>
                <w:rFonts w:eastAsia="Hiragino Sans" w:ascii="Hiragino Sans" w:hAnsi="Hiragino Sans"/>
                <w:b w:val="0"/>
                <w:sz w:val="18"/>
              </w:rPr>
              <w:t>04</w:t>
            </w:r>
          </w:p>
        </w:tc>
        <w:tc>
          <w:tcPr>
            <w:tcW w:type="dxa" w:w="3324"/>
            <w:shd w:val="clear" w:fill="F7F8FA"/>
          </w:tcPr>
          <w:p>
            <w:r/>
            <w:r>
              <w:rPr>
                <w:rFonts w:eastAsia="Hiragino Sans" w:ascii="Hiragino Sans" w:hAnsi="Hiragino Sans"/>
                <w:b w:val="0"/>
                <w:sz w:val="18"/>
              </w:rPr>
              <w:t>論点の区分（会計方針の変更／表示方法の変更／会計上の見積りの変更／誤謬の訂正）と落とし先</w:t>
            </w:r>
          </w:p>
        </w:tc>
        <w:tc>
          <w:tcPr>
            <w:tcW w:type="dxa" w:w="3324"/>
            <w:shd w:val="clear" w:fill="F7F8FA"/>
          </w:tcPr>
          <w:p>
            <w:r/>
            <w:r>
              <w:rPr>
                <w:rFonts w:eastAsia="Hiragino Sans" w:ascii="Hiragino Sans" w:hAnsi="Hiragino Sans"/>
                <w:b w:val="0"/>
                <w:sz w:val="18"/>
              </w:rPr>
              <w:t>区分が変わると遡及の要否も注記も変わる</w:t>
            </w:r>
          </w:p>
        </w:tc>
      </w:tr>
      <w:tr>
        <w:tc>
          <w:tcPr>
            <w:tcW w:type="dxa" w:w="3324"/>
          </w:tcPr>
          <w:p>
            <w:r/>
            <w:r>
              <w:rPr>
                <w:rFonts w:eastAsia="Hiragino Sans" w:ascii="Hiragino Sans" w:hAnsi="Hiragino Sans"/>
                <w:b w:val="0"/>
                <w:sz w:val="18"/>
              </w:rPr>
              <w:t>09</w:t>
            </w:r>
          </w:p>
        </w:tc>
        <w:tc>
          <w:tcPr>
            <w:tcW w:type="dxa" w:w="3324"/>
          </w:tcPr>
          <w:p>
            <w:r/>
            <w:r>
              <w:rPr>
                <w:rFonts w:eastAsia="Hiragino Sans" w:ascii="Hiragino Sans" w:hAnsi="Hiragino Sans"/>
                <w:b w:val="0"/>
                <w:sz w:val="18"/>
              </w:rPr>
              <w:t>経過措置・実務上の便法の採否、監査人合意日</w:t>
            </w:r>
          </w:p>
        </w:tc>
        <w:tc>
          <w:tcPr>
            <w:tcW w:type="dxa" w:w="3324"/>
          </w:tcPr>
          <w:p>
            <w:r/>
            <w:r>
              <w:rPr>
                <w:rFonts w:eastAsia="Hiragino Sans" w:ascii="Hiragino Sans" w:hAnsi="Hiragino Sans"/>
                <w:b w:val="0"/>
                <w:sz w:val="18"/>
              </w:rPr>
              <w:t>選択の結果であり、事実ではない</w:t>
            </w:r>
          </w:p>
        </w:tc>
      </w:tr>
      <w:tr>
        <w:tc>
          <w:tcPr>
            <w:tcW w:type="dxa" w:w="3324"/>
            <w:shd w:val="clear" w:fill="F7F8FA"/>
          </w:tcPr>
          <w:p>
            <w:r/>
            <w:r>
              <w:rPr>
                <w:rFonts w:eastAsia="Hiragino Sans" w:ascii="Hiragino Sans" w:hAnsi="Hiragino Sans"/>
                <w:b w:val="0"/>
                <w:sz w:val="18"/>
              </w:rPr>
              <w:t>10</w:t>
            </w:r>
          </w:p>
        </w:tc>
        <w:tc>
          <w:tcPr>
            <w:tcW w:type="dxa" w:w="3324"/>
            <w:shd w:val="clear" w:fill="F7F8FA"/>
          </w:tcPr>
          <w:p>
            <w:r/>
            <w:r>
              <w:rPr>
                <w:rFonts w:eastAsia="Hiragino Sans" w:ascii="Hiragino Sans" w:hAnsi="Hiragino Sans"/>
                <w:b w:val="0"/>
                <w:sz w:val="18"/>
              </w:rPr>
              <w:t>重要性の基準値</w:t>
            </w:r>
          </w:p>
        </w:tc>
        <w:tc>
          <w:tcPr>
            <w:tcW w:type="dxa" w:w="3324"/>
            <w:shd w:val="clear" w:fill="F7F8FA"/>
          </w:tcPr>
          <w:p>
            <w:r/>
            <w:r>
              <w:rPr>
                <w:rFonts w:eastAsia="Hiragino Sans" w:ascii="Hiragino Sans" w:hAnsi="Hiragino Sans"/>
                <w:b w:val="0"/>
                <w:sz w:val="18"/>
              </w:rPr>
              <w:t>金額だけでなく質的な重要性も含む判断</w:t>
            </w:r>
          </w:p>
        </w:tc>
      </w:tr>
      <w:tr>
        <w:tc>
          <w:tcPr>
            <w:tcW w:type="dxa" w:w="3324"/>
          </w:tcPr>
          <w:p>
            <w:r/>
            <w:r>
              <w:rPr>
                <w:rFonts w:eastAsia="Hiragino Sans" w:ascii="Hiragino Sans" w:hAnsi="Hiragino Sans"/>
                <w:b w:val="0"/>
                <w:sz w:val="18"/>
              </w:rPr>
              <w:t>11</w:t>
            </w:r>
          </w:p>
        </w:tc>
        <w:tc>
          <w:tcPr>
            <w:tcW w:type="dxa" w:w="3324"/>
          </w:tcPr>
          <w:p>
            <w:r/>
            <w:r>
              <w:rPr>
                <w:rFonts w:eastAsia="Hiragino Sans" w:ascii="Hiragino Sans" w:hAnsi="Hiragino Sans"/>
                <w:b w:val="0"/>
                <w:sz w:val="18"/>
              </w:rPr>
              <w:t>一時差異の区分・解消年度・回収可能性</w:t>
            </w:r>
          </w:p>
        </w:tc>
        <w:tc>
          <w:tcPr>
            <w:tcW w:type="dxa" w:w="3324"/>
          </w:tcPr>
          <w:p>
            <w:r/>
            <w:r>
              <w:rPr>
                <w:rFonts w:eastAsia="Hiragino Sans" w:ascii="Hiragino Sans" w:hAnsi="Hiragino Sans"/>
                <w:b w:val="0"/>
                <w:sz w:val="18"/>
              </w:rPr>
              <w:t>税務上の当てはめ。税理士の領分</w:t>
            </w:r>
          </w:p>
        </w:tc>
      </w:tr>
    </w:tbl>
    <w:p>
      <w:pPr>
        <w:spacing w:after="40"/>
      </w:pPr>
    </w:p>
    <w:p>
      <w:pPr>
        <w:pStyle w:val="Heading1"/>
      </w:pPr>
      <w:r>
        <w:t>8. 経過措置は「選ばなかった選択肢」まで記録する</w:t>
      </w:r>
    </w:p>
    <w:p>
      <w:pPr>
        <w:spacing w:after="80"/>
      </w:pPr>
      <w:r>
        <w:rPr>
          <w:rFonts w:eastAsia="Hiragino Sans" w:ascii="Hiragino Sans" w:hAnsi="Hiragino Sans"/>
          <w:b w:val="0"/>
          <w:i w:val="0"/>
        </w:rPr>
        <w:t>監査上、経過措置の選択は</w:t>
      </w:r>
      <w:r>
        <w:rPr>
          <w:rFonts w:eastAsia="Hiragino Sans" w:ascii="Hiragino Sans" w:hAnsi="Hiragino Sans"/>
          <w:b/>
          <w:i w:val="0"/>
        </w:rPr>
        <w:t>結論より選択の過程が問われる</w:t>
      </w:r>
      <w:r>
        <w:rPr>
          <w:rFonts w:eastAsia="Hiragino Sans" w:ascii="Hiragino Sans" w:hAnsi="Hiragino Sans"/>
          <w:b w:val="0"/>
          <w:i w:val="0"/>
        </w:rPr>
        <w:t>。採用したものだけを記録すると、「他を検討した」ことを立証できない。</w:t>
      </w:r>
    </w:p>
    <w:p>
      <w:pPr>
        <w:spacing w:after="80"/>
      </w:pPr>
      <w:r>
        <w:rPr>
          <w:rFonts w:eastAsia="Hiragino Sans" w:ascii="Hiragino Sans" w:hAnsi="Hiragino Sans"/>
          <w:b w:val="0"/>
          <w:i w:val="0"/>
        </w:rPr>
        <w:t>したがって09シートは、選択肢を全て列挙し、</w:t>
      </w:r>
      <w:r>
        <w:rPr>
          <w:rFonts w:eastAsia="Hiragino Sans" w:ascii="Hiragino Sans" w:hAnsi="Hiragino Sans"/>
          <w:b/>
          <w:i w:val="0"/>
        </w:rPr>
        <w:t>採らなかった理由と、採った場合の影響</w:t>
      </w:r>
      <w:r>
        <w:rPr>
          <w:rFonts w:eastAsia="Hiragino Sans" w:ascii="Hiragino Sans" w:hAnsi="Hiragino Sans"/>
          <w:b w:val="0"/>
          <w:i w:val="0"/>
        </w:rPr>
        <w:t>まで残す形にした。</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c>
          <w:tcPr>
            <w:tcW w:type="dxa" w:w="2493"/>
            <w:shd w:val="clear" w:fill="24406B"/>
          </w:tcPr>
          <w:p>
            <w:r/>
            <w:r>
              <w:rPr>
                <w:rFonts w:eastAsia="Hiragino Sans" w:ascii="Hiragino Sans" w:hAnsi="Hiragino Sans"/>
                <w:b/>
                <w:color w:val="FFFFFF"/>
                <w:sz w:val="18"/>
              </w:rPr>
              <w:t>基準</w:t>
            </w:r>
          </w:p>
        </w:tc>
        <w:tc>
          <w:tcPr>
            <w:tcW w:type="dxa" w:w="2493"/>
            <w:shd w:val="clear" w:fill="24406B"/>
          </w:tcPr>
          <w:p>
            <w:r/>
            <w:r>
              <w:rPr>
                <w:rFonts w:eastAsia="Hiragino Sans" w:ascii="Hiragino Sans" w:hAnsi="Hiragino Sans"/>
                <w:b/>
                <w:color w:val="FFFFFF"/>
                <w:sz w:val="18"/>
              </w:rPr>
              <w:t>論点</w:t>
            </w:r>
          </w:p>
        </w:tc>
        <w:tc>
          <w:tcPr>
            <w:tcW w:type="dxa" w:w="2493"/>
            <w:shd w:val="clear" w:fill="24406B"/>
          </w:tcPr>
          <w:p>
            <w:r/>
            <w:r>
              <w:rPr>
                <w:rFonts w:eastAsia="Hiragino Sans" w:ascii="Hiragino Sans" w:hAnsi="Hiragino Sans"/>
                <w:b/>
                <w:color w:val="FFFFFF"/>
                <w:sz w:val="18"/>
              </w:rPr>
              <w:t>選択肢</w:t>
            </w:r>
          </w:p>
        </w:tc>
        <w:tc>
          <w:tcPr>
            <w:tcW w:type="dxa" w:w="2493"/>
            <w:shd w:val="clear" w:fill="24406B"/>
          </w:tcPr>
          <w:p>
            <w:r/>
            <w:r>
              <w:rPr>
                <w:rFonts w:eastAsia="Hiragino Sans" w:ascii="Hiragino Sans" w:hAnsi="Hiragino Sans"/>
                <w:b/>
                <w:color w:val="FFFFFF"/>
                <w:sz w:val="18"/>
              </w:rPr>
              <w:t>採用</w:t>
            </w:r>
          </w:p>
        </w:tc>
      </w:tr>
      <w:tr>
        <w:tc>
          <w:tcPr>
            <w:tcW w:type="dxa" w:w="2493"/>
          </w:tcPr>
          <w:p>
            <w:r/>
            <w:r>
              <w:rPr>
                <w:rFonts w:eastAsia="Hiragino Sans" w:ascii="Hiragino Sans" w:hAnsi="Hiragino Sans"/>
                <w:b w:val="0"/>
                <w:sz w:val="18"/>
              </w:rPr>
              <w:t>リース</w:t>
            </w:r>
          </w:p>
        </w:tc>
        <w:tc>
          <w:tcPr>
            <w:tcW w:type="dxa" w:w="2493"/>
          </w:tcPr>
          <w:p>
            <w:r/>
            <w:r>
              <w:rPr>
                <w:rFonts w:eastAsia="Hiragino Sans" w:ascii="Hiragino Sans" w:hAnsi="Hiragino Sans"/>
                <w:b w:val="0"/>
                <w:sz w:val="18"/>
              </w:rPr>
              <w:t>使用権資産の算定方法</w:t>
            </w:r>
          </w:p>
        </w:tc>
        <w:tc>
          <w:tcPr>
            <w:tcW w:type="dxa" w:w="2493"/>
          </w:tcPr>
          <w:p>
            <w:r/>
            <w:r>
              <w:rPr>
                <w:rFonts w:eastAsia="Hiragino Sans" w:ascii="Hiragino Sans" w:hAnsi="Hiragino Sans"/>
                <w:b w:val="0"/>
                <w:sz w:val="18"/>
              </w:rPr>
              <w:t>簡便法／遡及して当初計上額から算定</w:t>
            </w:r>
          </w:p>
        </w:tc>
        <w:tc>
          <w:tcPr>
            <w:tcW w:type="dxa" w:w="2493"/>
          </w:tcPr>
          <w:p>
            <w:r/>
            <w:r>
              <w:rPr>
                <w:rFonts w:eastAsia="Hiragino Sans" w:ascii="Hiragino Sans" w:hAnsi="Hiragino Sans"/>
                <w:b w:val="0"/>
                <w:sz w:val="18"/>
              </w:rPr>
              <w:t>簡便法</w:t>
            </w:r>
          </w:p>
        </w:tc>
      </w:tr>
      <w:tr>
        <w:tc>
          <w:tcPr>
            <w:tcW w:type="dxa" w:w="2493"/>
            <w:shd w:val="clear" w:fill="F7F8FA"/>
          </w:tcPr>
          <w:p>
            <w:r/>
            <w:r>
              <w:rPr>
                <w:rFonts w:eastAsia="Hiragino Sans" w:ascii="Hiragino Sans" w:hAnsi="Hiragino Sans"/>
                <w:b w:val="0"/>
                <w:sz w:val="18"/>
              </w:rPr>
              <w:t>リース</w:t>
            </w:r>
          </w:p>
        </w:tc>
        <w:tc>
          <w:tcPr>
            <w:tcW w:type="dxa" w:w="2493"/>
            <w:shd w:val="clear" w:fill="F7F8FA"/>
          </w:tcPr>
          <w:p>
            <w:r/>
            <w:r>
              <w:rPr>
                <w:rFonts w:eastAsia="Hiragino Sans" w:ascii="Hiragino Sans" w:hAnsi="Hiragino Sans"/>
                <w:b w:val="0"/>
                <w:sz w:val="18"/>
              </w:rPr>
              <w:t>旧ファイナンス・リースの扱い</w:t>
            </w:r>
          </w:p>
        </w:tc>
        <w:tc>
          <w:tcPr>
            <w:tcW w:type="dxa" w:w="2493"/>
            <w:shd w:val="clear" w:fill="F7F8FA"/>
          </w:tcPr>
          <w:p>
            <w:r/>
            <w:r>
              <w:rPr>
                <w:rFonts w:eastAsia="Hiragino Sans" w:ascii="Hiragino Sans" w:hAnsi="Hiragino Sans"/>
                <w:b w:val="0"/>
                <w:sz w:val="18"/>
              </w:rPr>
              <w:t>帳簿価額を引き継ぐ／算定し直す</w:t>
            </w:r>
          </w:p>
        </w:tc>
        <w:tc>
          <w:tcPr>
            <w:tcW w:type="dxa" w:w="2493"/>
            <w:shd w:val="clear" w:fill="F7F8FA"/>
          </w:tcPr>
          <w:p>
            <w:r/>
            <w:r>
              <w:rPr>
                <w:rFonts w:eastAsia="Hiragino Sans" w:ascii="Hiragino Sans" w:hAnsi="Hiragino Sans"/>
                <w:b w:val="0"/>
                <w:sz w:val="18"/>
              </w:rPr>
              <w:t>引き継ぐ</w:t>
            </w:r>
          </w:p>
        </w:tc>
      </w:tr>
      <w:tr>
        <w:tc>
          <w:tcPr>
            <w:tcW w:type="dxa" w:w="2493"/>
          </w:tcPr>
          <w:p>
            <w:r/>
            <w:r>
              <w:rPr>
                <w:rFonts w:eastAsia="Hiragino Sans" w:ascii="Hiragino Sans" w:hAnsi="Hiragino Sans"/>
                <w:b w:val="0"/>
                <w:sz w:val="18"/>
              </w:rPr>
              <w:t>リース</w:t>
            </w:r>
          </w:p>
        </w:tc>
        <w:tc>
          <w:tcPr>
            <w:tcW w:type="dxa" w:w="2493"/>
          </w:tcPr>
          <w:p>
            <w:r/>
            <w:r>
              <w:rPr>
                <w:rFonts w:eastAsia="Hiragino Sans" w:ascii="Hiragino Sans" w:hAnsi="Hiragino Sans"/>
                <w:b w:val="0"/>
                <w:sz w:val="18"/>
              </w:rPr>
              <w:t>少額リースの判定方法</w:t>
            </w:r>
          </w:p>
        </w:tc>
        <w:tc>
          <w:tcPr>
            <w:tcW w:type="dxa" w:w="2493"/>
          </w:tcPr>
          <w:p>
            <w:r/>
            <w:r>
              <w:rPr>
                <w:rFonts w:eastAsia="Hiragino Sans" w:ascii="Hiragino Sans" w:hAnsi="Hiragino Sans"/>
                <w:b w:val="0"/>
                <w:sz w:val="18"/>
              </w:rPr>
              <w:t>新品時の価値による／対価総額による</w:t>
            </w:r>
          </w:p>
        </w:tc>
        <w:tc>
          <w:tcPr>
            <w:tcW w:type="dxa" w:w="2493"/>
          </w:tcPr>
          <w:p>
            <w:r/>
            <w:r>
              <w:rPr>
                <w:rFonts w:eastAsia="Hiragino Sans" w:ascii="Hiragino Sans" w:hAnsi="Hiragino Sans"/>
                <w:b w:val="0"/>
                <w:sz w:val="18"/>
              </w:rPr>
              <w:t>対価総額（⚠️併用不可・継続適用）</w:t>
            </w:r>
          </w:p>
        </w:tc>
      </w:tr>
      <w:tr>
        <w:tc>
          <w:tcPr>
            <w:tcW w:type="dxa" w:w="2493"/>
            <w:shd w:val="clear" w:fill="F7F8FA"/>
          </w:tcPr>
          <w:p>
            <w:r/>
            <w:r>
              <w:rPr>
                <w:rFonts w:eastAsia="Hiragino Sans" w:ascii="Hiragino Sans" w:hAnsi="Hiragino Sans"/>
                <w:b w:val="0"/>
                <w:sz w:val="18"/>
              </w:rPr>
              <w:t>収益認識</w:t>
            </w:r>
          </w:p>
        </w:tc>
        <w:tc>
          <w:tcPr>
            <w:tcW w:type="dxa" w:w="2493"/>
            <w:shd w:val="clear" w:fill="F7F8FA"/>
          </w:tcPr>
          <w:p>
            <w:r/>
            <w:r>
              <w:rPr>
                <w:rFonts w:eastAsia="Hiragino Sans" w:ascii="Hiragino Sans" w:hAnsi="Hiragino Sans"/>
                <w:b w:val="0"/>
                <w:sz w:val="18"/>
              </w:rPr>
              <w:t>適用方法</w:t>
            </w:r>
          </w:p>
        </w:tc>
        <w:tc>
          <w:tcPr>
            <w:tcW w:type="dxa" w:w="2493"/>
            <w:shd w:val="clear" w:fill="F7F8FA"/>
          </w:tcPr>
          <w:p>
            <w:r/>
            <w:r>
              <w:rPr>
                <w:rFonts w:eastAsia="Hiragino Sans" w:ascii="Hiragino Sans" w:hAnsi="Hiragino Sans"/>
                <w:b w:val="0"/>
                <w:sz w:val="18"/>
              </w:rPr>
              <w:t>遡及適用／期首に累積的影響額を加減</w:t>
            </w:r>
          </w:p>
        </w:tc>
        <w:tc>
          <w:tcPr>
            <w:tcW w:type="dxa" w:w="2493"/>
            <w:shd w:val="clear" w:fill="F7F8FA"/>
          </w:tcPr>
          <w:p>
            <w:r/>
            <w:r>
              <w:rPr>
                <w:rFonts w:eastAsia="Hiragino Sans" w:ascii="Hiragino Sans" w:hAnsi="Hiragino Sans"/>
                <w:b w:val="0"/>
                <w:sz w:val="18"/>
              </w:rPr>
              <w:t>遡及適用</w:t>
            </w:r>
          </w:p>
        </w:tc>
      </w:tr>
      <w:tr>
        <w:tc>
          <w:tcPr>
            <w:tcW w:type="dxa" w:w="2493"/>
          </w:tcPr>
          <w:p>
            <w:r/>
            <w:r>
              <w:rPr>
                <w:rFonts w:eastAsia="Hiragino Sans" w:ascii="Hiragino Sans" w:hAnsi="Hiragino Sans"/>
                <w:b w:val="0"/>
                <w:sz w:val="18"/>
              </w:rPr>
              <w:t>収益認識</w:t>
            </w:r>
          </w:p>
        </w:tc>
        <w:tc>
          <w:tcPr>
            <w:tcW w:type="dxa" w:w="2493"/>
          </w:tcPr>
          <w:p>
            <w:r/>
            <w:r>
              <w:rPr>
                <w:rFonts w:eastAsia="Hiragino Sans" w:ascii="Hiragino Sans" w:hAnsi="Hiragino Sans"/>
                <w:b w:val="0"/>
                <w:sz w:val="18"/>
              </w:rPr>
              <w:t>出荷基準の代替的取扱い</w:t>
            </w:r>
          </w:p>
        </w:tc>
        <w:tc>
          <w:tcPr>
            <w:tcW w:type="dxa" w:w="2493"/>
          </w:tcPr>
          <w:p>
            <w:r/>
            <w:r>
              <w:rPr>
                <w:rFonts w:eastAsia="Hiragino Sans" w:ascii="Hiragino Sans" w:hAnsi="Hiragino Sans"/>
                <w:b w:val="0"/>
                <w:sz w:val="18"/>
              </w:rPr>
              <w:t>適用する／しない</w:t>
            </w:r>
          </w:p>
        </w:tc>
        <w:tc>
          <w:tcPr>
            <w:tcW w:type="dxa" w:w="2493"/>
          </w:tcPr>
          <w:p>
            <w:r/>
            <w:r>
              <w:rPr>
                <w:rFonts w:eastAsia="Hiragino Sans" w:ascii="Hiragino Sans" w:hAnsi="Hiragino Sans"/>
                <w:b w:val="0"/>
                <w:sz w:val="18"/>
              </w:rPr>
              <w:t>適用（⚠️国内販売のみ）</w:t>
            </w:r>
          </w:p>
        </w:tc>
      </w:tr>
      <w:tr>
        <w:tc>
          <w:tcPr>
            <w:tcW w:type="dxa" w:w="2493"/>
            <w:shd w:val="clear" w:fill="F7F8FA"/>
          </w:tcPr>
          <w:p>
            <w:r/>
            <w:r>
              <w:rPr>
                <w:rFonts w:eastAsia="Hiragino Sans" w:ascii="Hiragino Sans" w:hAnsi="Hiragino Sans"/>
                <w:b w:val="0"/>
                <w:sz w:val="18"/>
              </w:rPr>
              <w:t>資産除去債務</w:t>
            </w:r>
          </w:p>
        </w:tc>
        <w:tc>
          <w:tcPr>
            <w:tcW w:type="dxa" w:w="2493"/>
            <w:shd w:val="clear" w:fill="F7F8FA"/>
          </w:tcPr>
          <w:p>
            <w:r/>
            <w:r>
              <w:rPr>
                <w:rFonts w:eastAsia="Hiragino Sans" w:ascii="Hiragino Sans" w:hAnsi="Hiragino Sans"/>
                <w:b w:val="0"/>
                <w:sz w:val="18"/>
              </w:rPr>
              <w:t>賃借物件の原状回復義務</w:t>
            </w:r>
          </w:p>
        </w:tc>
        <w:tc>
          <w:tcPr>
            <w:tcW w:type="dxa" w:w="2493"/>
            <w:shd w:val="clear" w:fill="F7F8FA"/>
          </w:tcPr>
          <w:p>
            <w:r/>
            <w:r>
              <w:rPr>
                <w:rFonts w:eastAsia="Hiragino Sans" w:ascii="Hiragino Sans" w:hAnsi="Hiragino Sans"/>
                <w:b w:val="0"/>
                <w:sz w:val="18"/>
              </w:rPr>
              <w:t>原則法／簡便法</w:t>
            </w:r>
          </w:p>
        </w:tc>
        <w:tc>
          <w:tcPr>
            <w:tcW w:type="dxa" w:w="2493"/>
            <w:shd w:val="clear" w:fill="F7F8FA"/>
          </w:tcPr>
          <w:p>
            <w:r/>
            <w:r>
              <w:rPr>
                <w:rFonts w:eastAsia="Hiragino Sans" w:ascii="Hiragino Sans" w:hAnsi="Hiragino Sans"/>
                <w:b w:val="0"/>
                <w:sz w:val="18"/>
              </w:rPr>
              <w:t>物件により使い分け（⚠️継続適用）</w:t>
            </w:r>
          </w:p>
        </w:tc>
      </w:tr>
    </w:tbl>
    <w:p>
      <w:pPr>
        <w:spacing w:after="40"/>
      </w:pPr>
    </w:p>
    <w:p>
      <w:pPr>
        <w:pStyle w:val="Heading1"/>
      </w:pPr>
      <w:r>
        <w:t>9. 重要性は「遡及しなかった論点の積み上げ」まで作る</w:t>
      </w:r>
    </w:p>
    <w:p>
      <w:pPr>
        <w:spacing w:after="80"/>
      </w:pPr>
      <w:r>
        <w:rPr>
          <w:rFonts w:eastAsia="Hiragino Sans" w:ascii="Hiragino Sans" w:hAnsi="Hiragino Sans"/>
          <w:b w:val="0"/>
          <w:i w:val="0"/>
        </w:rPr>
        <w:t>閾値を1つ置くだけでは足りない。</w:t>
      </w:r>
      <w:r>
        <w:rPr>
          <w:rFonts w:eastAsia="Hiragino Sans" w:ascii="Hiragino Sans" w:hAnsi="Hiragino Sans"/>
          <w:b/>
          <w:i w:val="0"/>
        </w:rPr>
        <w:t>監査人が必ず問うのは「個々は閾値未満でも、合計すると重要性を超えないか」</w:t>
      </w:r>
      <w:r>
        <w:rPr>
          <w:rFonts w:eastAsia="Hiragino Sans" w:ascii="Hiragino Sans" w:hAnsi="Hiragino Sans"/>
          <w:b w:val="0"/>
          <w:i w:val="0"/>
        </w:rPr>
        <w:t>である。この積み上げが無いと、閾値を置いたこと自体が形式に終わる。</w:t>
      </w:r>
    </w:p>
    <w:p>
      <w:pPr>
        <w:ind w:left="120"/>
        <w:shd w:val="clear" w:fill="F3F4F6"/>
        <w:pBdr>
          <w:left w:val="single" w:sz="18" w:space="6" w:color="24406B"/>
        </w:pBdr>
      </w:pPr>
      <w:r>
        <w:rPr>
          <w:rFonts w:eastAsia="Hiragino Sans" w:ascii="Hiragino Sans" w:hAnsi="Hiragino Sans"/>
          <w:b w:val="0"/>
          <w:i/>
          <w:color w:val="444444"/>
          <w:sz w:val="18"/>
        </w:rPr>
        <w:t>移行で最も時間が浮くのは、計算を速くすることではなく、</w:t>
      </w:r>
      <w:r>
        <w:rPr>
          <w:rFonts w:eastAsia="Hiragino Sans" w:ascii="Hiragino Sans" w:hAnsi="Hiragino Sans"/>
          <w:b/>
          <w:i/>
          <w:color w:val="444444"/>
          <w:sz w:val="18"/>
        </w:rPr>
        <w:t>範囲を削る判断を先に文書化して監査人と合意すること</w:t>
      </w:r>
      <w:r>
        <w:rPr>
          <w:rFonts w:eastAsia="Hiragino Sans" w:ascii="Hiragino Sans" w:hAnsi="Hiragino Sans"/>
          <w:b w:val="0"/>
          <w:i/>
          <w:color w:val="444444"/>
          <w:sz w:val="18"/>
        </w:rPr>
        <w:t>である。09と10は、そのための紙である。</w:t>
      </w:r>
    </w:p>
    <w:p>
      <w:pPr>
        <w:pStyle w:val="Heading1"/>
      </w:pPr>
      <w:r>
        <w:t>10. 顧問税理士への引渡</w:t>
      </w:r>
    </w:p>
    <w:p>
      <w:pPr>
        <w:spacing w:after="80"/>
      </w:pPr>
      <w:r>
        <w:rPr>
          <w:rFonts w:eastAsia="Hiragino Sans" w:ascii="Hiragino Sans" w:hAnsi="Hiragino Sans"/>
          <w:b w:val="0"/>
          <w:i w:val="0"/>
        </w:rPr>
        <w:t>会計方針の変更の累積的影響額と移行日の測定（減損）は</w:t>
      </w:r>
      <w:r>
        <w:rPr>
          <w:rFonts w:eastAsia="Hiragino Sans" w:ascii="Hiragino Sans" w:hAnsi="Hiragino Sans"/>
          <w:b/>
          <w:i w:val="0"/>
        </w:rPr>
        <w:t>利益剰余金の期首に直接入るので別表四を通らない</w:t>
      </w:r>
      <w:r>
        <w:rPr>
          <w:rFonts w:eastAsia="Hiragino Sans" w:ascii="Hiragino Sans" w:hAnsi="Hiragino Sans"/>
          <w:b w:val="0"/>
          <w:i w:val="0"/>
        </w:rPr>
        <w:t>。そのため別表五(一)の調整明細が要る（期首欄で直すか当期の増減欄で処理するかを含め、税理士が確定させる）。別表四を通るのは、資産除去債務の第18項の差額（適用初年度の損益）だけである。この明細が無いと申告が組めず、決算そのものが止まる。</w:t>
      </w:r>
    </w:p>
    <w:p>
      <w:pPr>
        <w:spacing w:after="80"/>
      </w:pPr>
      <w:r>
        <w:rPr>
          <w:rFonts w:eastAsia="Hiragino Sans" w:ascii="Hiragino Sans" w:hAnsi="Hiragino Sans"/>
          <w:b w:val="0"/>
          <w:i w:val="0"/>
        </w:rPr>
        <w:t>11シートがその様式である。</w:t>
      </w:r>
      <w:r>
        <w:rPr>
          <w:rFonts w:eastAsia="Hiragino Sans" w:ascii="Hiragino Sans" w:hAnsi="Hiragino Sans"/>
          <w:b/>
          <w:i w:val="0"/>
        </w:rPr>
        <w:t>本書は差異の所在までを示し、税務上の当てはめ（損金算入の可否・解消年度・回収可能性）は行っていない。</w:t>
      </w:r>
      <w:r>
        <w:rPr>
          <w:rFonts w:eastAsia="Hiragino Sans" w:ascii="Hiragino Sans" w:hAnsi="Hiragino Sans"/>
          <w:b w:val="0"/>
          <w:i w:val="0"/>
        </w:rPr>
        <w:t xml:space="preserve"> 緑のセルは税理士が埋める箇所である。</w:t>
      </w:r>
    </w:p>
    <w:p>
      <w:pPr>
        <w:ind w:left="120"/>
        <w:shd w:val="clear" w:fill="F3F4F6"/>
        <w:pBdr>
          <w:left w:val="single" w:sz="18" w:space="6" w:color="24406B"/>
        </w:pBdr>
      </w:pPr>
      <w:r>
        <w:rPr>
          <w:rFonts w:eastAsia="Hiragino Sans" w:ascii="Hiragino Sans" w:hAnsi="Hiragino Sans"/>
          <w:b w:val="0"/>
          <w:i/>
          <w:color w:val="444444"/>
          <w:sz w:val="18"/>
        </w:rPr>
        <w:t>税理士登録の有無は「当てはめを書かない」理由にはなるが、「</w:t>
      </w:r>
      <w:r>
        <w:rPr>
          <w:rFonts w:eastAsia="Hiragino Sans" w:ascii="Hiragino Sans" w:hAnsi="Hiragino Sans"/>
          <w:b/>
          <w:i/>
          <w:color w:val="444444"/>
          <w:sz w:val="18"/>
        </w:rPr>
        <w:t>明細を渡す様式を作らない</w:t>
      </w:r>
      <w:r>
        <w:rPr>
          <w:rFonts w:eastAsia="Hiragino Sans" w:ascii="Hiragino Sans" w:hAnsi="Hiragino Sans"/>
          <w:b w:val="0"/>
          <w:i/>
          <w:color w:val="444444"/>
          <w:sz w:val="18"/>
        </w:rPr>
        <w:t>」理由にはならない。</w:t>
      </w:r>
    </w:p>
    <w:p>
      <w:pPr>
        <w:pStyle w:val="Heading1"/>
      </w:pPr>
      <w:r>
        <w:t>11. 検算が担保する範囲</w:t>
      </w:r>
    </w:p>
    <w:p>
      <w:pPr>
        <w:spacing w:after="80"/>
      </w:pPr>
      <w:r>
        <w:rPr>
          <w:rFonts w:eastAsia="Hiragino Sans" w:ascii="Hiragino Sans" w:hAnsi="Hiragino Sans"/>
          <w:b w:val="0"/>
          <w:i w:val="0"/>
        </w:rPr>
        <w:t>添付Excelの12シートに11件の検算を置き、すべてOKであることを確認した。中核は2つである。</w:t>
      </w:r>
    </w:p>
    <w:p>
      <w:pPr>
        <w:spacing w:after="80"/>
      </w:pPr>
      <w:r>
        <w:rPr>
          <w:rFonts w:eastAsia="Hiragino Sans" w:ascii="Hiragino Sans" w:hAnsi="Hiragino Sans"/>
          <w:b w:val="0"/>
          <w:i w:val="0"/>
        </w:rPr>
        <w:t xml:space="preserve">1. </w:t>
      </w:r>
      <w:r>
        <w:rPr>
          <w:rFonts w:eastAsia="Hiragino Sans" w:ascii="Hiragino Sans" w:hAnsi="Hiragino Sans"/>
          <w:b/>
          <w:i w:val="0"/>
        </w:rPr>
        <w:t>移行仕訳の借方 ＝ 貸方</w:t>
      </w:r>
      <w:r>
        <w:rPr>
          <w:rFonts w:eastAsia="Hiragino Sans" w:ascii="Hiragino Sans" w:hAnsi="Hiragino Sans"/>
          <w:b w:val="0"/>
          <w:i w:val="0"/>
        </w:rPr>
        <w:t xml:space="preserve"> 2. </w:t>
      </w:r>
      <w:r>
        <w:rPr>
          <w:rFonts w:eastAsia="Hiragino Sans" w:ascii="Hiragino Sans" w:hAnsi="Hiragino Sans"/>
          <w:b/>
          <w:i w:val="0"/>
        </w:rPr>
        <w:t>仕訳から集計した値が、各基準別調書の集計値と一致する</w:t>
      </w:r>
      <w:r>
        <w:rPr>
          <w:rFonts w:eastAsia="Hiragino Sans" w:ascii="Hiragino Sans" w:hAnsi="Hiragino Sans"/>
          <w:b w:val="0"/>
          <w:i w:val="0"/>
        </w:rPr>
        <w:t>（9行。比較年度の変動は遡及適用の表が仕訳を経由せずに出した値と突き合わせる）</w:t>
      </w:r>
    </w:p>
    <w:p>
      <w:pPr>
        <w:spacing w:after="80"/>
      </w:pPr>
      <w:r>
        <w:rPr>
          <w:rFonts w:eastAsia="Hiragino Sans" w:ascii="Hiragino Sans" w:hAnsi="Hiragino Sans"/>
          <w:b w:val="0"/>
          <w:i w:val="0"/>
        </w:rPr>
        <w:t>②が一致するということは、</w:t>
      </w:r>
      <w:r>
        <w:rPr>
          <w:rFonts w:eastAsia="Hiragino Sans" w:ascii="Hiragino Sans" w:hAnsi="Hiragino Sans"/>
          <w:b/>
          <w:i w:val="0"/>
        </w:rPr>
        <w:t>仕訳への分解が完全である（漏れも重複も無い）</w:t>
      </w:r>
      <w:r>
        <w:rPr>
          <w:rFonts w:eastAsia="Hiragino Sans" w:ascii="Hiragino Sans" w:hAnsi="Hiragino Sans"/>
          <w:b w:val="0"/>
          <w:i w:val="0"/>
        </w:rPr>
        <w:t>ことを意味する。仕訳への分解は各調書の集計とは別のコードで行っているため、両者の一致は実質的なテストになる。</w:t>
      </w:r>
    </w:p>
    <w:p>
      <w:pPr>
        <w:ind w:left="120"/>
        <w:shd w:val="clear" w:fill="F3F4F6"/>
        <w:pBdr>
          <w:left w:val="single" w:sz="18" w:space="6" w:color="24406B"/>
        </w:pBdr>
      </w:pPr>
      <w:r>
        <w:rPr>
          <w:rFonts w:eastAsia="Hiragino Sans" w:ascii="Hiragino Sans" w:hAnsi="Hiragino Sans"/>
          <w:b w:val="0"/>
          <w:i/>
          <w:color w:val="444444"/>
          <w:sz w:val="18"/>
        </w:rPr>
        <w:t xml:space="preserve">⚠️ </w:t>
      </w:r>
      <w:r>
        <w:rPr>
          <w:rFonts w:eastAsia="Hiragino Sans" w:ascii="Hiragino Sans" w:hAnsi="Hiragino Sans"/>
          <w:b/>
          <w:i/>
          <w:color w:val="444444"/>
          <w:sz w:val="18"/>
        </w:rPr>
        <w:t>ただし、この判定が担保するのは「数式が閉じていること」だけである。</w:t>
      </w:r>
      <w:r>
        <w:rPr>
          <w:rFonts w:eastAsia="Hiragino Sans" w:ascii="Hiragino Sans" w:hAnsi="Hiragino Sans"/>
          <w:b w:val="0"/>
          <w:i/>
          <w:color w:val="444444"/>
          <w:sz w:val="18"/>
        </w:rPr>
        <w:t xml:space="preserve"> 第5章の母集団の穴と金額の不一致は、検算とは別の経路（主キーとの突合）で見つかったものであり、検算がOKでも検知は出る（現在3件＝企業結合で認識した のれん・無形資産が減損の母集団に無い）。</w:t>
      </w:r>
      <w:r>
        <w:rPr>
          <w:rFonts w:eastAsia="Hiragino Sans" w:ascii="Hiragino Sans" w:hAnsi="Hiragino Sans"/>
          <w:b/>
          <w:i/>
          <w:color w:val="444444"/>
          <w:sz w:val="18"/>
        </w:rPr>
        <w:t>検算が緑であることと、数値が正しいことは別である。</w:t>
      </w:r>
      <w:r>
        <w:rPr>
          <w:rFonts w:eastAsia="Hiragino Sans" w:ascii="Hiragino Sans" w:hAnsi="Hiragino Sans"/>
          <w:b w:val="0"/>
          <w:i/>
          <w:color w:val="444444"/>
          <w:sz w:val="18"/>
        </w:rPr>
        <w:t xml:space="preserve"> この区別を明示しないまま整合しているように見せるのは不誠実なので、00シートの表紙に未解決件数を並べて表示している。</w:t>
      </w:r>
    </w:p>
    <w:p>
      <w:pPr>
        <w:pStyle w:val="Heading1"/>
      </w:pPr>
      <w:r>
        <w:t>12. 本書に続く成果物（作成済み）</w:t>
      </w:r>
    </w:p>
    <w:tbl>
      <w:tblPr>
        <w:tblStyle w:val="TableGrid"/>
        <w:tblW w:type="auto" w:w="0"/>
        <w:jc w:val="center"/>
        <w:tblLayout w:type="autofit"/>
        <w:tblLook w:firstColumn="1" w:firstRow="1" w:lastColumn="0" w:lastRow="0" w:noHBand="0" w:noVBand="1" w:val="04A0"/>
      </w:tblPr>
      <w:tblGrid>
        <w:gridCol w:w="3324"/>
        <w:gridCol w:w="3324"/>
        <w:gridCol w:w="3324"/>
      </w:tblGrid>
      <w:tr>
        <w:tc>
          <w:tcPr>
            <w:tcW w:type="dxa" w:w="3324"/>
            <w:shd w:val="clear" w:fill="24406B"/>
          </w:tcPr>
          <w:p>
            <w:r/>
            <w:r>
              <w:rPr>
                <w:rFonts w:eastAsia="Hiragino Sans" w:ascii="Hiragino Sans" w:hAnsi="Hiragino Sans"/>
                <w:b/>
                <w:color w:val="FFFFFF"/>
                <w:sz w:val="18"/>
              </w:rPr>
              <w:t>順</w:t>
            </w:r>
          </w:p>
        </w:tc>
        <w:tc>
          <w:tcPr>
            <w:tcW w:type="dxa" w:w="3324"/>
            <w:shd w:val="clear" w:fill="24406B"/>
          </w:tcPr>
          <w:p>
            <w:r/>
            <w:r>
              <w:rPr>
                <w:rFonts w:eastAsia="Hiragino Sans" w:ascii="Hiragino Sans" w:hAnsi="Hiragino Sans"/>
                <w:b/>
                <w:color w:val="FFFFFF"/>
                <w:sz w:val="18"/>
              </w:rPr>
              <w:t>成果物</w:t>
            </w:r>
          </w:p>
        </w:tc>
        <w:tc>
          <w:tcPr>
            <w:tcW w:type="dxa" w:w="3324"/>
            <w:shd w:val="clear" w:fill="24406B"/>
          </w:tcPr>
          <w:p>
            <w:r/>
            <w:r>
              <w:rPr>
                <w:rFonts w:eastAsia="Hiragino Sans" w:ascii="Hiragino Sans" w:hAnsi="Hiragino Sans"/>
                <w:b/>
                <w:color w:val="FFFFFF"/>
                <w:sz w:val="18"/>
              </w:rPr>
              <w:t>位置づけ</w:t>
            </w:r>
          </w:p>
        </w:tc>
      </w:tr>
      <w:tr>
        <w:tc>
          <w:tcPr>
            <w:tcW w:type="dxa" w:w="3324"/>
          </w:tcPr>
          <w:p>
            <w:r/>
            <w:r>
              <w:rPr>
                <w:rFonts w:eastAsia="Hiragino Sans" w:ascii="Hiragino Sans" w:hAnsi="Hiragino Sans"/>
                <w:b w:val="0"/>
                <w:sz w:val="18"/>
              </w:rPr>
              <w:t>1</w:t>
            </w:r>
          </w:p>
        </w:tc>
        <w:tc>
          <w:tcPr>
            <w:tcW w:type="dxa" w:w="3324"/>
          </w:tcPr>
          <w:p>
            <w:r/>
            <w:r>
              <w:rPr>
                <w:rFonts w:eastAsia="Hiragino Sans" w:ascii="Hiragino Sans" w:hAnsi="Hiragino Sans"/>
                <w:b/>
                <w:sz w:val="18"/>
              </w:rPr>
              <w:t>開始貸借対照表 精算表</w:t>
            </w:r>
          </w:p>
        </w:tc>
        <w:tc>
          <w:tcPr>
            <w:tcW w:type="dxa" w:w="3324"/>
          </w:tcPr>
          <w:p>
            <w:r/>
            <w:r>
              <w:rPr>
                <w:rFonts w:eastAsia="Hiragino Sans" w:ascii="Hiragino Sans" w:hAnsi="Hiragino Sans"/>
                <w:b w:val="0"/>
                <w:sz w:val="18"/>
              </w:rPr>
              <w:t>税務基準B/S →（順序1認識／期首計上・第18項／順序2測定／順序3税効果）→ 日本基準の開始B/S。本書07シートの科目別純額が調整列になる</w:t>
            </w:r>
          </w:p>
        </w:tc>
      </w:tr>
      <w:tr>
        <w:tc>
          <w:tcPr>
            <w:tcW w:type="dxa" w:w="3324"/>
            <w:shd w:val="clear" w:fill="F7F8FA"/>
          </w:tcPr>
          <w:p>
            <w:r/>
            <w:r>
              <w:rPr>
                <w:rFonts w:eastAsia="Hiragino Sans" w:ascii="Hiragino Sans" w:hAnsi="Hiragino Sans"/>
                <w:b w:val="0"/>
                <w:sz w:val="18"/>
              </w:rPr>
              <w:t>2</w:t>
            </w:r>
          </w:p>
        </w:tc>
        <w:tc>
          <w:tcPr>
            <w:tcW w:type="dxa" w:w="3324"/>
            <w:shd w:val="clear" w:fill="F7F8FA"/>
          </w:tcPr>
          <w:p>
            <w:r/>
            <w:r>
              <w:rPr>
                <w:rFonts w:eastAsia="Hiragino Sans" w:ascii="Hiragino Sans" w:hAnsi="Hiragino Sans"/>
                <w:b/>
                <w:sz w:val="18"/>
              </w:rPr>
              <w:t>税効果・申告引渡明細</w:t>
            </w:r>
          </w:p>
        </w:tc>
        <w:tc>
          <w:tcPr>
            <w:tcW w:type="dxa" w:w="3324"/>
            <w:shd w:val="clear" w:fill="F7F8FA"/>
          </w:tcPr>
          <w:p>
            <w:r/>
            <w:r>
              <w:rPr>
                <w:rFonts w:eastAsia="Hiragino Sans" w:ascii="Hiragino Sans" w:hAnsi="Hiragino Sans"/>
                <w:b w:val="0"/>
                <w:sz w:val="18"/>
              </w:rPr>
              <w:t>別表五(一)の期首残高の調整明細。別表四を通るか通らないかを時点で分ける</w:t>
            </w:r>
          </w:p>
        </w:tc>
      </w:tr>
      <w:tr>
        <w:tc>
          <w:tcPr>
            <w:tcW w:type="dxa" w:w="3324"/>
          </w:tcPr>
          <w:p>
            <w:r/>
            <w:r>
              <w:rPr>
                <w:rFonts w:eastAsia="Hiragino Sans" w:ascii="Hiragino Sans" w:hAnsi="Hiragino Sans"/>
                <w:b w:val="0"/>
                <w:sz w:val="18"/>
              </w:rPr>
              <w:t>3</w:t>
            </w:r>
          </w:p>
        </w:tc>
        <w:tc>
          <w:tcPr>
            <w:tcW w:type="dxa" w:w="3324"/>
          </w:tcPr>
          <w:p>
            <w:r/>
            <w:r>
              <w:rPr>
                <w:rFonts w:eastAsia="Hiragino Sans" w:ascii="Hiragino Sans" w:hAnsi="Hiragino Sans"/>
                <w:b/>
                <w:sz w:val="18"/>
              </w:rPr>
              <w:t>遡及適用と比較情報の作り直し</w:t>
            </w:r>
          </w:p>
        </w:tc>
        <w:tc>
          <w:tcPr>
            <w:tcW w:type="dxa" w:w="3324"/>
          </w:tcPr>
          <w:p>
            <w:r/>
            <w:r>
              <w:rPr>
                <w:rFonts w:eastAsia="Hiragino Sans" w:ascii="Hiragino Sans" w:hAnsi="Hiragino Sans"/>
                <w:b w:val="0"/>
                <w:sz w:val="18"/>
              </w:rPr>
              <w:t>経過措置から「比較情報を作り直すか」と「仕訳が載る時点」を導出し、実物と双方向で突き合わせる</w:t>
            </w:r>
          </w:p>
        </w:tc>
      </w:tr>
    </w:tbl>
    <w:p>
      <w:pPr>
        <w:spacing w:after="40"/>
      </w:pPr>
    </w:p>
    <w:p>
      <w:pPr>
        <w:pStyle w:val="Heading1"/>
      </w:pPr>
      <w:r>
        <w:t>13. 訂正の来歴（2026年9月7日）</w:t>
      </w:r>
    </w:p>
    <w:tbl>
      <w:tblPr>
        <w:tblStyle w:val="TableGrid"/>
        <w:tblW w:type="auto" w:w="0"/>
        <w:jc w:val="center"/>
        <w:tblLayout w:type="autofit"/>
        <w:tblLook w:firstColumn="1" w:firstRow="1" w:lastColumn="0" w:lastRow="0" w:noHBand="0" w:noVBand="1" w:val="04A0"/>
      </w:tblPr>
      <w:tblGrid>
        <w:gridCol w:w="4986"/>
        <w:gridCol w:w="4986"/>
      </w:tblGrid>
      <w:tr>
        <w:tc>
          <w:tcPr>
            <w:tcW w:type="dxa" w:w="4986"/>
            <w:shd w:val="clear" w:fill="24406B"/>
          </w:tcPr>
          <w:p>
            <w:r/>
            <w:r>
              <w:rPr>
                <w:rFonts w:eastAsia="Hiragino Sans" w:ascii="Hiragino Sans" w:hAnsi="Hiragino Sans"/>
                <w:b/>
                <w:color w:val="FFFFFF"/>
                <w:sz w:val="18"/>
              </w:rPr>
              <w:t>決裁</w:t>
            </w:r>
          </w:p>
        </w:tc>
        <w:tc>
          <w:tcPr>
            <w:tcW w:type="dxa" w:w="4986"/>
            <w:shd w:val="clear" w:fill="24406B"/>
          </w:tcPr>
          <w:p>
            <w:r/>
            <w:r>
              <w:rPr>
                <w:rFonts w:eastAsia="Hiragino Sans" w:ascii="Hiragino Sans" w:hAnsi="Hiragino Sans"/>
                <w:b/>
                <w:color w:val="FFFFFF"/>
                <w:sz w:val="18"/>
              </w:rPr>
              <w:t>内容</w:t>
            </w:r>
          </w:p>
        </w:tc>
      </w:tr>
      <w:tr>
        <w:tc>
          <w:tcPr>
            <w:tcW w:type="dxa" w:w="4986"/>
          </w:tcPr>
          <w:p>
            <w:r/>
            <w:r>
              <w:rPr>
                <w:rFonts w:eastAsia="Hiragino Sans" w:ascii="Hiragino Sans" w:hAnsi="Hiragino Sans"/>
                <w:b w:val="0"/>
                <w:sz w:val="18"/>
              </w:rPr>
              <w:t>Y-294</w:t>
            </w:r>
          </w:p>
        </w:tc>
        <w:tc>
          <w:tcPr>
            <w:tcW w:type="dxa" w:w="4986"/>
          </w:tcPr>
          <w:p>
            <w:r/>
            <w:r>
              <w:rPr>
                <w:rFonts w:eastAsia="Hiragino Sans" w:ascii="Hiragino Sans" w:hAnsi="Hiragino Sans"/>
                <w:b w:val="0"/>
                <w:sz w:val="18"/>
              </w:rPr>
              <w:t>減損の時点を「当期」→「開始B/S」に統一した。減損は会計方針の変更ではなく会計上の見積り（第24号第4項(3)・第17項）で遡及しないが、税務基準から日本基準の開始貸借対照表を組む本調書では順序2＝移行日の測定として開始B/Sに載る</w:t>
            </w:r>
          </w:p>
        </w:tc>
      </w:tr>
      <w:tr>
        <w:tc>
          <w:tcPr>
            <w:tcW w:type="dxa" w:w="4986"/>
            <w:shd w:val="clear" w:fill="F7F8FA"/>
          </w:tcPr>
          <w:p>
            <w:r/>
            <w:r>
              <w:rPr>
                <w:rFonts w:eastAsia="Hiragino Sans" w:ascii="Hiragino Sans" w:hAnsi="Hiragino Sans"/>
                <w:b w:val="0"/>
                <w:sz w:val="18"/>
              </w:rPr>
              <w:t>Y-295</w:t>
            </w:r>
          </w:p>
        </w:tc>
        <w:tc>
          <w:tcPr>
            <w:tcW w:type="dxa" w:w="4986"/>
            <w:shd w:val="clear" w:fill="F7F8FA"/>
          </w:tcPr>
          <w:p>
            <w:r/>
            <w:r>
              <w:rPr>
                <w:rFonts w:eastAsia="Hiragino Sans" w:ascii="Hiragino Sans" w:hAnsi="Hiragino Sans"/>
                <w:b w:val="0"/>
                <w:sz w:val="18"/>
              </w:rPr>
              <w:t>資産除去債務に第18号第18項のキャッチアップを実装した。従来は資産と負債を同額で両建てし（債務の発生時点の処理）、5年目・8年目の見積り変更まで開始B/Sに載せていた。期首の債務 259,045.32／期首の除去費用 200,733.88／差額 58,311.44 を適用初年度の特別損失とする。期首時点の割引率は人が入れる（本サンプルは当初率と同じと置いた）</w:t>
            </w:r>
          </w:p>
        </w:tc>
      </w:tr>
      <w:tr>
        <w:tc>
          <w:tcPr>
            <w:tcW w:type="dxa" w:w="4986"/>
          </w:tcPr>
          <w:p>
            <w:r/>
            <w:r>
              <w:rPr>
                <w:rFonts w:eastAsia="Hiragino Sans" w:ascii="Hiragino Sans" w:hAnsi="Hiragino Sans"/>
                <w:b w:val="0"/>
                <w:sz w:val="18"/>
              </w:rPr>
              <w:t>Y-296</w:t>
            </w:r>
          </w:p>
        </w:tc>
        <w:tc>
          <w:tcPr>
            <w:tcW w:type="dxa" w:w="4986"/>
          </w:tcPr>
          <w:p>
            <w:r/>
            <w:r>
              <w:rPr>
                <w:rFonts w:eastAsia="Hiragino Sans" w:ascii="Hiragino Sans" w:hAnsi="Hiragino Sans"/>
                <w:b w:val="0"/>
                <w:sz w:val="18"/>
              </w:rPr>
              <w:t>固定資産台帳を順序1の出力から導出するようにし、未解決3件（A-2010／R-01／R-04）を解消した。減損損失の合計は 802,000 → 1,352,802.29。検知器の厳密化により新たに2件（C-009／C-002）が出た</w:t>
            </w:r>
          </w:p>
        </w:tc>
      </w:tr>
      <w:tr>
        <w:tc>
          <w:tcPr>
            <w:tcW w:type="dxa" w:w="4986"/>
            <w:shd w:val="clear" w:fill="F7F8FA"/>
          </w:tcPr>
          <w:p>
            <w:r/>
            <w:r>
              <w:rPr>
                <w:rFonts w:eastAsia="Hiragino Sans" w:ascii="Hiragino Sans" w:hAnsi="Hiragino Sans"/>
                <w:b w:val="0"/>
                <w:sz w:val="18"/>
              </w:rPr>
              <w:t>Y-339（2026年9月9日）</w:t>
            </w:r>
          </w:p>
        </w:tc>
        <w:tc>
          <w:tcPr>
            <w:tcW w:type="dxa" w:w="4986"/>
            <w:shd w:val="clear" w:fill="F7F8FA"/>
          </w:tcPr>
          <w:p>
            <w:r/>
            <w:r>
              <w:rPr>
                <w:rFonts w:eastAsia="Hiragino Sans" w:ascii="Hiragino Sans" w:hAnsi="Hiragino Sans"/>
                <w:b w:val="0"/>
                <w:sz w:val="18"/>
              </w:rPr>
              <w:t>減損の回収可能価額の見積りを帳簿価額と同じ前提に揃えた（適用指針第6号 第61項＝使用権資産を含む資産グループの将来キャッシュ・アウト・フローに支払リース料を含めない）。移行日の測定は 1,374,529.18 → 777,308.99</w:t>
            </w:r>
          </w:p>
        </w:tc>
      </w:tr>
      <w:tr>
        <w:tc>
          <w:tcPr>
            <w:tcW w:type="dxa" w:w="4986"/>
          </w:tcPr>
          <w:p>
            <w:r/>
            <w:r>
              <w:rPr>
                <w:rFonts w:eastAsia="Hiragino Sans" w:ascii="Hiragino Sans" w:hAnsi="Hiragino Sans"/>
                <w:b w:val="0"/>
                <w:sz w:val="18"/>
              </w:rPr>
              <w:t>Y-338／Y-340（2026年9月9日）</w:t>
            </w:r>
          </w:p>
        </w:tc>
        <w:tc>
          <w:tcPr>
            <w:tcW w:type="dxa" w:w="4986"/>
          </w:tcPr>
          <w:p>
            <w:r/>
            <w:r>
              <w:rPr>
                <w:rFonts w:eastAsia="Hiragino Sans" w:ascii="Hiragino Sans" w:hAnsi="Hiragino Sans"/>
                <w:b w:val="0"/>
                <w:sz w:val="18"/>
              </w:rPr>
              <w:t>引当金キットを点灯（承認台帳に登録）。PCB廃棄物処理費用は資産除去債務として次回AROキットへ（引当金では計上しない）</w:t>
            </w:r>
          </w:p>
        </w:tc>
      </w:tr>
      <w:tr>
        <w:tc>
          <w:tcPr>
            <w:tcW w:type="dxa" w:w="4986"/>
            <w:shd w:val="clear" w:fill="F7F8FA"/>
          </w:tcPr>
          <w:p>
            <w:r/>
            <w:r>
              <w:rPr>
                <w:rFonts w:eastAsia="Hiragino Sans" w:ascii="Hiragino Sans" w:hAnsi="Hiragino Sans"/>
                <w:b w:val="0"/>
                <w:sz w:val="18"/>
              </w:rPr>
              <w:t>Y-316〜319（2026年9月8日）</w:t>
            </w:r>
          </w:p>
        </w:tc>
        <w:tc>
          <w:tcPr>
            <w:tcW w:type="dxa" w:w="4986"/>
            <w:shd w:val="clear" w:fill="F7F8FA"/>
          </w:tcPr>
          <w:p>
            <w:r/>
            <w:r>
              <w:rPr>
                <w:rFonts w:eastAsia="Hiragino Sans" w:ascii="Hiragino Sans" w:hAnsi="Hiragino Sans"/>
                <w:b w:val="0"/>
                <w:sz w:val="18"/>
              </w:rPr>
              <w:t>C-009 は賃料0の使用貸借としてリース非該当を除外理由に記録／C-002 の原状回復義務を R-05 として追加（除去費用は使用権資産に加算）／敷金簡便法の本社事務所の費用配分済み額 2,400 を差入保証金から落とす移行仕訳を追加／減損の回収可能価額の見積り直しと開始B/Sの税効果計上は現状維持（限界として明記）。減損損失 1,352,802.29 → 777,308.99、第18項の差額 52,333.83 → 58,311.44、適用初年度の期首計上 60,711.44</w:t>
            </w:r>
          </w:p>
        </w:tc>
      </w:tr>
      <w:tr>
        <w:tc>
          <w:tcPr>
            <w:tcW w:type="dxa" w:w="4986"/>
          </w:tcPr>
          <w:p>
            <w:r/>
            <w:r>
              <w:rPr>
                <w:rFonts w:eastAsia="Hiragino Sans" w:ascii="Hiragino Sans" w:hAnsi="Hiragino Sans"/>
                <w:b w:val="0"/>
                <w:sz w:val="18"/>
              </w:rPr>
              <w:t>2026年9月9日（企業結合キット・10本目）</w:t>
            </w:r>
          </w:p>
        </w:tc>
        <w:tc>
          <w:tcPr>
            <w:tcW w:type="dxa" w:w="4986"/>
          </w:tcPr>
          <w:p>
            <w:r/>
            <w:r>
              <w:rPr>
                <w:rFonts w:eastAsia="Hiragino Sans" w:ascii="Hiragino Sans" w:hAnsi="Hiragino Sans"/>
                <w:b w:val="0"/>
                <w:sz w:val="18"/>
              </w:rPr>
              <w:t>企業結合（取得原価の配分とのれん）のキットを追加した。比較期首 160,000／当期首 140,000／比較年度の償却費 20,000。⚠️ 純資産への影響が</w:t>
            </w:r>
            <w:r>
              <w:rPr>
                <w:rFonts w:eastAsia="Hiragino Sans" w:ascii="Hiragino Sans" w:hAnsi="Hiragino Sans"/>
                <w:b/>
                <w:sz w:val="18"/>
              </w:rPr>
              <w:t>正</w:t>
            </w:r>
            <w:r>
              <w:rPr>
                <w:rFonts w:eastAsia="Hiragino Sans" w:ascii="Hiragino Sans" w:hAnsi="Hiragino Sans"/>
                <w:b w:val="0"/>
                <w:sz w:val="18"/>
              </w:rPr>
              <w:t>の初めてのキットである。移行仕訳は101行 → 113行（借方＝貸方 2,995,328.36）、開始B/Sの利益剰余金は 2,342,438.21 → 2,482,438.21、別表四を通らない差異は △1,232,261.79 → △1,092,261.79。のれん・無形資産を減損の固定資産台帳に入れていないため、</w:t>
            </w:r>
            <w:r>
              <w:rPr>
                <w:rFonts w:eastAsia="Hiragino Sans" w:ascii="Hiragino Sans" w:hAnsi="Hiragino Sans"/>
                <w:b/>
                <w:sz w:val="18"/>
              </w:rPr>
              <w:t>未解決が0件 → 3件</w:t>
            </w:r>
            <w:r>
              <w:rPr>
                <w:rFonts w:eastAsia="Hiragino Sans" w:ascii="Hiragino Sans" w:hAnsi="Hiragino Sans"/>
                <w:b w:val="0"/>
                <w:sz w:val="18"/>
              </w:rPr>
              <w:t>になった（意図した状態。第5章）</w:t>
            </w:r>
          </w:p>
        </w:tc>
      </w:tr>
      <w:tr>
        <w:tc>
          <w:tcPr>
            <w:tcW w:type="dxa" w:w="4986"/>
            <w:shd w:val="clear" w:fill="F7F8FA"/>
          </w:tcPr>
          <w:p>
            <w:r/>
            <w:r>
              <w:rPr>
                <w:rFonts w:eastAsia="Hiragino Sans" w:ascii="Hiragino Sans" w:hAnsi="Hiragino Sans"/>
                <w:b w:val="0"/>
                <w:sz w:val="18"/>
              </w:rPr>
              <w:t>相互レビュー反映（2026年9月8日）</w:t>
            </w:r>
          </w:p>
        </w:tc>
        <w:tc>
          <w:tcPr>
            <w:tcW w:type="dxa" w:w="4986"/>
            <w:shd w:val="clear" w:fill="F7F8FA"/>
          </w:tcPr>
          <w:p>
            <w:r/>
            <w:r>
              <w:rPr>
                <w:rFonts w:eastAsia="Hiragino Sans" w:ascii="Hiragino Sans" w:hAnsi="Hiragino Sans"/>
                <w:b w:val="0"/>
                <w:sz w:val="18"/>
              </w:rPr>
              <w:t>検知を導出前の台帳で走らせ来歴を残す／除去費用の検知を注記の文字列でなく導出の印で判定／関連資産の突合を名前でなく資産コードに／背骨にも比較年度の変動を流し精算表と同じ仕訳集合に／開始B/Sの純資産を利益剰余金と当期純損益（期首計上）に分けて二重起票を防ぐ</w:t>
            </w:r>
          </w:p>
        </w:tc>
      </w:tr>
    </w:tbl>
    <w:p>
      <w:pPr>
        <w:spacing w:after="40"/>
      </w:pPr>
    </w:p>
    <w:p>
      <w:pPr>
        <w:pStyle w:val="Heading1"/>
      </w:pPr>
      <w:r>
        <w:t>14. 本書の位置づけと限界</w:t>
      </w:r>
    </w:p>
    <w:p>
      <w:pPr>
        <w:pStyle w:val="ListBullet"/>
        <w:ind w:left="240"/>
      </w:pPr>
      <w:r>
        <w:rPr>
          <w:rFonts w:eastAsia="Hiragino Sans" w:ascii="Hiragino Sans" w:hAnsi="Hiragino Sans"/>
          <w:b w:val="0"/>
          <w:sz w:val="20"/>
        </w:rPr>
        <w:t>本書はAIが生成したドラフトであり、</w:t>
      </w:r>
      <w:r>
        <w:rPr>
          <w:rFonts w:eastAsia="Hiragino Sans" w:ascii="Hiragino Sans" w:hAnsi="Hiragino Sans"/>
          <w:b/>
          <w:sz w:val="20"/>
        </w:rPr>
        <w:t>公認会計士のレビューを前提とする</w:t>
      </w:r>
      <w:r>
        <w:rPr>
          <w:rFonts w:eastAsia="Hiragino Sans" w:ascii="Hiragino Sans" w:hAnsi="Hiragino Sans"/>
          <w:b w:val="0"/>
          <w:sz w:val="20"/>
        </w:rPr>
        <w:t>。</w:t>
      </w:r>
    </w:p>
    <w:p>
      <w:pPr>
        <w:pStyle w:val="ListBullet"/>
        <w:ind w:left="240"/>
      </w:pPr>
      <w:r>
        <w:rPr>
          <w:rFonts w:eastAsia="Hiragino Sans" w:ascii="Hiragino Sans" w:hAnsi="Hiragino Sans"/>
          <w:b w:val="0"/>
          <w:sz w:val="20"/>
        </w:rPr>
        <w:t>会社および数値はすべて架空であり、実在の企業・個人とは一切関係がない。</w:t>
      </w:r>
    </w:p>
    <w:p>
      <w:pPr>
        <w:pStyle w:val="ListBullet"/>
        <w:ind w:left="240"/>
      </w:pPr>
      <w:r>
        <w:rPr>
          <w:rFonts w:eastAsia="Hiragino Sans" w:ascii="Hiragino Sans" w:hAnsi="Hiragino Sans"/>
          <w:b w:val="0"/>
          <w:sz w:val="20"/>
        </w:rPr>
        <w:t>金額は4つの基準別調書のエンジンが確定させた値であり、本ブックで再入力していない。05シートの出所列で追跡できる。</w:t>
      </w:r>
    </w:p>
    <w:p>
      <w:pPr>
        <w:pStyle w:val="ListBullet"/>
        <w:ind w:left="240"/>
      </w:pPr>
      <w:r>
        <w:rPr>
          <w:rFonts w:eastAsia="Hiragino Sans" w:ascii="Hiragino Sans" w:hAnsi="Hiragino Sans"/>
          <w:b w:val="0"/>
          <w:sz w:val="20"/>
        </w:rPr>
        <w:t>第5章の旧3件は2026年9月7日の決裁（Y-296）で是正した。訂正の来歴は第13章と添付Excelの00シートに記録している。</w:t>
      </w:r>
    </w:p>
    <w:p>
      <w:pPr>
        <w:pStyle w:val="ListBullet"/>
        <w:ind w:left="240"/>
      </w:pPr>
      <w:r>
        <w:rPr>
          <w:rFonts w:eastAsia="Hiragino Sans" w:ascii="Hiragino Sans" w:hAnsi="Hiragino Sans"/>
          <w:b/>
          <w:sz w:val="20"/>
        </w:rPr>
        <w:t>現在の未解決3件（BC-01〜BC-03）は未処置である。</w:t>
      </w:r>
      <w:r>
        <w:rPr>
          <w:rFonts w:eastAsia="Hiragino Sans" w:ascii="Hiragino Sans" w:hAnsi="Hiragino Sans"/>
          <w:b w:val="0"/>
          <w:sz w:val="20"/>
        </w:rPr>
        <w:t xml:space="preserve"> 企業結合で認識した のれん・顧客関連資産・商標権を減損の固定資産台帳に入れるかどうかは、のれんのグルーピング（より大きな単位）と回収可能価額の見積り直しを伴うため、次の決裁で扱う。</w:t>
      </w:r>
    </w:p>
    <w:p>
      <w:pPr>
        <w:pStyle w:val="ListBullet"/>
        <w:ind w:left="240"/>
      </w:pPr>
      <w:r>
        <w:rPr>
          <w:rFonts w:eastAsia="Hiragino Sans" w:ascii="Hiragino Sans" w:hAnsi="Hiragino Sans"/>
          <w:b w:val="0"/>
          <w:sz w:val="20"/>
        </w:rPr>
        <w:t>税務上の取扱いについては判断を行っていない。税理士の確認を要する。</w:t>
      </w:r>
    </w:p>
    <w:sectPr w:rsidR="00FC693F" w:rsidRPr="0006063C" w:rsidSect="00034616">
      <w:footerReference w:type="default" r:id="rId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eastAsia="Hiragino Sans" w:ascii="Hiragino Sans" w:hAnsi="Hiragino Sans"/>
        <w:color w:val="6B7280"/>
        <w:sz w:val="16"/>
      </w:rPr>
      <w:t xml:space="preserve">会計基準移行 移行方針と重要な判断　サンプル製造株式会社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Hiragino Sans" w:hAnsi="Hiragino Sans" w:eastAsia="Hiragino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Hiragino Sans" w:hAnsi="Hiragino Sans" w:eastAsia="Hiragino Sans"/>
      <w:b/>
      <w:bCs/>
      <w:color w:val="24406B"/>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Hiragino Sans" w:hAnsi="Hiragino Sans" w:eastAsia="Hiragino Sans"/>
      <w:b/>
      <w:bCs/>
      <w:color w:val="24406B"/>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Hiragino Sans" w:hAnsi="Hiragino Sans" w:eastAsia="Hiragino Sans"/>
      <w:b/>
      <w:bCs/>
      <w:color w:val="33333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Hiragino Sans" w:hAnsi="Hiragino Sans" w:eastAsia="Hiragino Sans"/>
      <w:b/>
      <w:bCs/>
      <w:i/>
      <w:iCs/>
      <w:color w:val="555555"/>
      <w:sz w:val="2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generated by python-docx</dc:description>
  <cp:revision>1</cp:revision>
  <dcterms:created xsi:type="dcterms:W3CDTF">2013-12-23T23:15:00Z</dcterms:created>
  <dcterms:modified xsi:type="dcterms:W3CDTF">2013-12-23T23:15:00Z</dcterms:modified>
  <cp:category/>
  <dc:creator>BENTO</dc:creator>
  <cp:lastModifiedBy>BENTO</cp:lastModifiedBy>
</cp:coreProperties>
</file>