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サンプルSaaS株式会社</w:t>
      </w:r>
    </w:p>
    <w:p>
      <w:pPr>
        <w:spacing w:after="20"/>
        <w:jc w:val="center"/>
      </w:pPr>
      <w:r>
        <w:rPr>
          <w:rFonts w:ascii="Yu Gothic" w:cs="Yu Gothic" w:eastAsia="Yu Gothic" w:hAnsi="Yu Gothic"/>
          <w:sz w:val="20"/>
          <w:szCs w:val="20"/>
        </w:rPr>
        <w:t xml:space="preserve">ショートレビュー（予備調査報告）　／　N-2（2026年3月期）グロース市場上場準備</w:t>
      </w:r>
    </w:p>
    <w:p>
      <w:pPr>
        <w:spacing w:after="160"/>
        <w:jc w:val="center"/>
      </w:pPr>
      <w:r>
        <w:rPr>
          <w:rFonts w:ascii="Yu Gothic" w:cs="Yu Gothic" w:eastAsia="Yu Gothic" w:hAnsi="Yu Gothic"/>
          <w:color w:val="8A8170"/>
          <w:sz w:val="15"/>
          <w:szCs w:val="15"/>
        </w:rPr>
        <w:t xml:space="preserve">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pStyle w:val="Heading1"/>
        <w:spacing w:after="80" w:before="280"/>
      </w:pPr>
      <w:r>
        <w:rPr>
          <w:rFonts w:ascii="Yu Gothic" w:cs="Yu Gothic" w:eastAsia="Yu Gothic" w:hAnsi="Yu Gothic"/>
          <w:b/>
          <w:bCs/>
        </w:rPr>
        <w:t xml:space="preserve">1. 診断の概要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目的</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東証グロース市場への上場(N-2)および監査法人による監査受嘱に向け、会計方針・決算体制・内部統制・ガバナンス・関連当事者・資本政策(ストックオプション)・労務等の現状を予備診断し、重要度別の課題と改善ロードマップを提示す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診断範囲</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収益認識(SaaS/ライセンス/複合契約)、ソフトウェア開発費の会計処理、KPI開示(ARR/MRR/チャーン)、ストックオプションを含む資本政策、関連当事者取引、IT全般統制・業務処理統制、決算早期化体制、ガバナンス・労務管理を対象とす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上場予定時期</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N-2期(2026年3月期)を監査初年度と位置づけ、N-1期での運用検証、申請期での本番運用を前提とする。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進め方</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経営陣・管理部門・開発部門へのヒアリング、主要契約書・規程・帳票の閲覧、収益認識サンプルの査閲を実施。会計士による正式レビュー前のドラフトであり、今後の詳細検証により評価が変動しうる。</w:t>
            </w:r>
          </w:p>
        </w:tc>
      </w:tr>
      <w:tr>
        <w:tc>
          <w:tcPr>
            <w:tcW w:type="pct" w:w="2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体制</w:t>
            </w:r>
          </w:p>
        </w:tc>
        <w:tc>
          <w:tcPr>
            <w:tcW w:type="pct" w:w="78%"/>
            <w:tcMar>
              <w:top w:type="dxa" w:w="30"/>
              <w:left w:type="dxa" w:w="60"/>
              <w:bottom w:type="dxa" w:w="30"/>
              <w:right w:type="dxa" w:w="60"/>
            </w:tcMar>
          </w:tcPr>
          <w:p>
            <w:r>
              <w:rPr>
                <w:rFonts w:ascii="Yu Gothic" w:cs="Yu Gothic" w:eastAsia="Yu Gothic" w:hAnsi="Yu Gothic"/>
                <w:b w:val="false"/>
                <w:bCs w:val="false"/>
                <w:sz w:val="15"/>
                <w:szCs w:val="15"/>
              </w:rPr>
              <w:t xml:space="preserve">公認会計士によるショートレビューチーム(主査1名・スタッフ2名)。必要に応じてIT監査・労務専門家と連携。</w:t>
            </w:r>
          </w:p>
        </w:tc>
      </w:tr>
    </w:tbl>
    <w:p>
      <w:pPr>
        <w:pStyle w:val="Heading1"/>
        <w:spacing w:after="80" w:before="280"/>
      </w:pPr>
      <w:r>
        <w:rPr>
          <w:rFonts w:ascii="Yu Gothic" w:cs="Yu Gothic" w:eastAsia="Yu Gothic" w:hAnsi="Yu Gothic"/>
          <w:b/>
          <w:bCs/>
        </w:rPr>
        <w:t xml:space="preserve">2. 課題一覧</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ID</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領域</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課題</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阻害度</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着手時期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REV-01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収益認識</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SaaS契約とライセンス提供の性質判別が未整理</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REV-02</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収益認識</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複合契約における独立販売価格(SSP)配分の未整備</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REV-03</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収益認識</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変動対価・返金/解約条件の見積りプロセス未整備</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DEV-01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主要勘定・見積り</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ソフトウェア開発費の資産化/費用化基準が不明確</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KPI-01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開示・KPI</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ARR/MRR等KPIの定義・算定根拠の未統一</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SO-01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資本政策</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ストックオプションの公正価値評価・費用計上未整備</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RPT-01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関連当事者</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関連当事者取引の網羅的把握と取引条件の妥当性</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ITGC-01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内部統制(IT全般統制)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本番環境アクセス・変更権限管理の脆弱性</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ITAC-01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内部統制(業務処理統制)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収益計上・請求・返金処理の自動化統制の検証不足</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SEC-01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特有リスク・統制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セキュリティ監視・監査ログ管理の整備</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N-2期下期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CLS-01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決算体制</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決算早期化と連結・開示体制の未確立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N-2期下期〜N-1期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GOV-01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ガバナンス</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取締役会・監査体制・規程類の整備状況</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N-2期〜N-1期</w:t>
            </w:r>
          </w:p>
        </w:tc>
      </w:tr>
      <w:tr>
        <w:tc>
          <w:tcPr>
            <w:tcW w:type="pct" w:w="8%"/>
            <w:tcMar>
              <w:top w:type="dxa" w:w="30"/>
              <w:left w:type="dxa" w:w="60"/>
              <w:bottom w:type="dxa" w:w="30"/>
              <w:right w:type="dxa" w:w="60"/>
            </w:tcMar>
          </w:tcPr>
          <w:p>
            <w:r>
              <w:rPr>
                <w:rFonts w:ascii="Yu Gothic" w:cs="Yu Gothic" w:eastAsia="Yu Gothic" w:hAnsi="Yu Gothic"/>
                <w:b w:val="false"/>
                <w:bCs w:val="false"/>
                <w:sz w:val="15"/>
                <w:szCs w:val="15"/>
              </w:rPr>
              <w:t xml:space="preserve">LAB-01</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労務</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労務管理・未払残業の潜在リスク</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N-2期上期</w:t>
            </w:r>
          </w:p>
        </w:tc>
      </w:tr>
    </w:tbl>
    <w:p>
      <w:pPr>
        <w:pStyle w:val="Heading2"/>
        <w:spacing w:after="60" w:before="220"/>
      </w:pPr>
      <w:r>
        <w:rPr>
          <w:rFonts w:ascii="Yu Gothic" w:cs="Yu Gothic" w:eastAsia="Yu Gothic" w:hAnsi="Yu Gothic"/>
          <w:b/>
          <w:bCs/>
        </w:rPr>
        <w:t xml:space="preserve">収益認識</w:t>
      </w:r>
    </w:p>
    <w:p>
      <w:pPr>
        <w:pStyle w:val="Heading3"/>
        <w:spacing w:after="60" w:before="200"/>
      </w:pPr>
      <w:r>
        <w:rPr>
          <w:rFonts w:ascii="Yu Gothic" w:cs="Yu Gothic" w:eastAsia="Yu Gothic" w:hAnsi="Yu Gothic"/>
          <w:b/>
          <w:bCs/>
        </w:rPr>
        <w:t xml:space="preserve">REV-01　SaaS契約とライセンス提供の性質判別が未整理（収益認識・上場阻害度 高・着手 N-2期上期）</w:t>
      </w:r>
    </w:p>
    <w:p>
      <w:pPr>
        <w:spacing w:after="60"/>
      </w:pPr>
      <w:r>
        <w:rPr>
          <w:rFonts w:ascii="Yu Gothic" w:cs="Yu Gothic" w:eastAsia="Yu Gothic" w:hAnsi="Yu Gothic"/>
          <w:b w:val="false"/>
          <w:bCs w:val="false"/>
          <w:sz w:val="18"/>
          <w:szCs w:val="18"/>
        </w:rPr>
        <w:t xml:space="preserve">現状：月額定額のSaaS利用料を期間按分で計上しているが、一部に永続ライセンス的な提供やオンプレ要素が混在し、収益認識方針として文書化されていない。</w:t>
      </w:r>
    </w:p>
    <w:p>
      <w:pPr>
        <w:spacing w:after="60"/>
      </w:pPr>
      <w:r>
        <w:rPr>
          <w:rFonts w:ascii="Yu Gothic" w:cs="Yu Gothic" w:eastAsia="Yu Gothic" w:hAnsi="Yu Gothic"/>
          <w:b w:val="false"/>
          <w:bCs w:val="false"/>
          <w:sz w:val="18"/>
          <w:szCs w:val="18"/>
        </w:rPr>
        <w:t xml:space="preserve">課題・阻害リスク：使用権(一時点)か恒続アクセス権(期間)かの判別基準が明確でなく、契約類型ごとの認識タイミングが恣意的になるリスクがある。監査上、収益認識方針の合理性を説明できない。</w:t>
      </w:r>
    </w:p>
    <w:p>
      <w:pPr>
        <w:spacing w:after="60"/>
      </w:pPr>
      <w:r>
        <w:rPr>
          <w:rFonts w:ascii="Yu Gothic" w:cs="Yu Gothic" w:eastAsia="Yu Gothic" w:hAnsi="Yu Gothic"/>
          <w:b w:val="false"/>
          <w:bCs w:val="false"/>
          <w:sz w:val="18"/>
          <w:szCs w:val="18"/>
        </w:rPr>
        <w:t xml:space="preserve">あるべき姿：IFRS第15号/収益認識会計基準、ソフトウェア取引実務対応報告第17号</w:t>
      </w:r>
    </w:p>
    <w:p>
      <w:pPr>
        <w:spacing w:after="60"/>
      </w:pPr>
      <w:r>
        <w:rPr>
          <w:rFonts w:ascii="Yu Gothic" w:cs="Yu Gothic" w:eastAsia="Yu Gothic" w:hAnsi="Yu Gothic"/>
          <w:b w:val="false"/>
          <w:bCs w:val="false"/>
          <w:sz w:val="18"/>
          <w:szCs w:val="18"/>
        </w:rPr>
        <w:t xml:space="preserve">改善提案：契約類型を棚卸しし、SaaS(期間認識)・使用権ライセンス(一時点)・保守(期間)等に分類。各類型の判別フローと認識タイミングを収益認識方針書として文書化する。</w:t>
      </w:r>
    </w:p>
    <w:p>
      <w:pPr>
        <w:spacing w:after="60"/>
      </w:pPr>
      <w:r>
        <w:rPr>
          <w:rFonts w:ascii="Yu Gothic" w:cs="Yu Gothic" w:eastAsia="Yu Gothic" w:hAnsi="Yu Gothic"/>
          <w:b w:val="false"/>
          <w:bCs w:val="false"/>
          <w:sz w:val="18"/>
          <w:szCs w:val="18"/>
        </w:rPr>
        <w:t xml:space="preserve">所管：経理部・事業管理部</w:t>
      </w:r>
    </w:p>
    <w:p>
      <w:pPr>
        <w:pStyle w:val="Heading3"/>
        <w:spacing w:after="60" w:before="200"/>
      </w:pPr>
      <w:r>
        <w:rPr>
          <w:rFonts w:ascii="Yu Gothic" w:cs="Yu Gothic" w:eastAsia="Yu Gothic" w:hAnsi="Yu Gothic"/>
          <w:b/>
          <w:bCs/>
        </w:rPr>
        <w:t xml:space="preserve">REV-02　複合契約における独立販売価格(SSP)配分の未整備（収益認識・上場阻害度 高・着手 N-2期上期〜下期）</w:t>
      </w:r>
    </w:p>
    <w:p>
      <w:pPr>
        <w:spacing w:after="60"/>
      </w:pPr>
      <w:r>
        <w:rPr>
          <w:rFonts w:ascii="Yu Gothic" w:cs="Yu Gothic" w:eastAsia="Yu Gothic" w:hAnsi="Yu Gothic"/>
          <w:b w:val="false"/>
          <w:bCs w:val="false"/>
          <w:sz w:val="18"/>
          <w:szCs w:val="18"/>
        </w:rPr>
        <w:t xml:space="preserve">現状：標準ソフト・カスタマイズ開発・導入支援を一括契約で受注するケースがあるが、取引価格を構成要素別に配分する仕組みがない。</w:t>
      </w:r>
    </w:p>
    <w:p>
      <w:pPr>
        <w:spacing w:after="60"/>
      </w:pPr>
      <w:r>
        <w:rPr>
          <w:rFonts w:ascii="Yu Gothic" w:cs="Yu Gothic" w:eastAsia="Yu Gothic" w:hAnsi="Yu Gothic"/>
          <w:b w:val="false"/>
          <w:bCs w:val="false"/>
          <w:sz w:val="18"/>
          <w:szCs w:val="18"/>
        </w:rPr>
        <w:t xml:space="preserve">課題・阻害リスク：履行義務の識別とSSPに基づく配分がなされず、導入支援等の収益認識時期が誤る可能性。複合契約の割合が増加すると影響が拡大する。</w:t>
      </w:r>
    </w:p>
    <w:p>
      <w:pPr>
        <w:spacing w:after="60"/>
      </w:pPr>
      <w:r>
        <w:rPr>
          <w:rFonts w:ascii="Yu Gothic" w:cs="Yu Gothic" w:eastAsia="Yu Gothic" w:hAnsi="Yu Gothic"/>
          <w:b w:val="false"/>
          <w:bCs w:val="false"/>
          <w:sz w:val="18"/>
          <w:szCs w:val="18"/>
        </w:rPr>
        <w:t xml:space="preserve">あるべき姿：収益認識会計基準(履行義務の識別・取引価格の配分)</w:t>
      </w:r>
    </w:p>
    <w:p>
      <w:pPr>
        <w:spacing w:after="60"/>
      </w:pPr>
      <w:r>
        <w:rPr>
          <w:rFonts w:ascii="Yu Gothic" w:cs="Yu Gothic" w:eastAsia="Yu Gothic" w:hAnsi="Yu Gothic"/>
          <w:b w:val="false"/>
          <w:bCs w:val="false"/>
          <w:sz w:val="18"/>
          <w:szCs w:val="18"/>
        </w:rPr>
        <w:t xml:space="preserve">改善提案：履行義務の識別ルールとSSPの算定方法(原価加算法・調整後市場評価法等)を定め、配分計算を契約管理に組み込む。</w:t>
      </w:r>
    </w:p>
    <w:p>
      <w:pPr>
        <w:spacing w:after="60"/>
      </w:pPr>
      <w:r>
        <w:rPr>
          <w:rFonts w:ascii="Yu Gothic" w:cs="Yu Gothic" w:eastAsia="Yu Gothic" w:hAnsi="Yu Gothic"/>
          <w:b w:val="false"/>
          <w:bCs w:val="false"/>
          <w:sz w:val="18"/>
          <w:szCs w:val="18"/>
        </w:rPr>
        <w:t xml:space="preserve">所管：経理部・営業部</w:t>
      </w:r>
    </w:p>
    <w:p>
      <w:pPr>
        <w:pStyle w:val="Heading3"/>
        <w:spacing w:after="60" w:before="200"/>
      </w:pPr>
      <w:r>
        <w:rPr>
          <w:rFonts w:ascii="Yu Gothic" w:cs="Yu Gothic" w:eastAsia="Yu Gothic" w:hAnsi="Yu Gothic"/>
          <w:b/>
          <w:bCs/>
        </w:rPr>
        <w:t xml:space="preserve">REV-03　変動対価・返金/解約条件の見積りプロセス未整備（収益認識・上場阻害度 中・着手 N-2期下期）</w:t>
      </w:r>
    </w:p>
    <w:p>
      <w:pPr>
        <w:spacing w:after="60"/>
      </w:pPr>
      <w:r>
        <w:rPr>
          <w:rFonts w:ascii="Yu Gothic" w:cs="Yu Gothic" w:eastAsia="Yu Gothic" w:hAnsi="Yu Gothic"/>
          <w:b w:val="false"/>
          <w:bCs w:val="false"/>
          <w:sz w:val="18"/>
          <w:szCs w:val="18"/>
        </w:rPr>
        <w:t xml:space="preserve">現状：利用量連動課金や中途解約・返金条項のある契約が存在するが、変動対価の見積りや返金引当の計上ルールがない。</w:t>
      </w:r>
    </w:p>
    <w:p>
      <w:pPr>
        <w:spacing w:after="60"/>
      </w:pPr>
      <w:r>
        <w:rPr>
          <w:rFonts w:ascii="Yu Gothic" w:cs="Yu Gothic" w:eastAsia="Yu Gothic" w:hAnsi="Yu Gothic"/>
          <w:b w:val="false"/>
          <w:bCs w:val="false"/>
          <w:sz w:val="18"/>
          <w:szCs w:val="18"/>
        </w:rPr>
        <w:t xml:space="preserve">課題・阻害リスク：変動対価の見積り(最頻値法/期待値法)と取消可能性の限度法が未適用で、過大計上リスク。解約権・返品条件の影響が会計に反映されていない。</w:t>
      </w:r>
    </w:p>
    <w:p>
      <w:pPr>
        <w:spacing w:after="60"/>
      </w:pPr>
      <w:r>
        <w:rPr>
          <w:rFonts w:ascii="Yu Gothic" w:cs="Yu Gothic" w:eastAsia="Yu Gothic" w:hAnsi="Yu Gothic"/>
          <w:b w:val="false"/>
          <w:bCs w:val="false"/>
          <w:sz w:val="18"/>
          <w:szCs w:val="18"/>
        </w:rPr>
        <w:t xml:space="preserve">あるべき姿：収益認識会計基準(変動対価・取引価格に含める額の制限)</w:t>
      </w:r>
    </w:p>
    <w:p>
      <w:pPr>
        <w:spacing w:after="60"/>
      </w:pPr>
      <w:r>
        <w:rPr>
          <w:rFonts w:ascii="Yu Gothic" w:cs="Yu Gothic" w:eastAsia="Yu Gothic" w:hAnsi="Yu Gothic"/>
          <w:b w:val="false"/>
          <w:bCs w:val="false"/>
          <w:sz w:val="18"/>
          <w:szCs w:val="18"/>
        </w:rPr>
        <w:t xml:space="preserve">改善提案：契約条項を類型化し変動対価の見積方法を定め、返金・割戻引当金の算定根拠を整備。実績データによる定期見直しを実施する。</w:t>
      </w:r>
    </w:p>
    <w:p>
      <w:pPr>
        <w:spacing w:after="60"/>
      </w:pPr>
      <w:r>
        <w:rPr>
          <w:rFonts w:ascii="Yu Gothic" w:cs="Yu Gothic" w:eastAsia="Yu Gothic" w:hAnsi="Yu Gothic"/>
          <w:b w:val="false"/>
          <w:bCs w:val="false"/>
          <w:sz w:val="18"/>
          <w:szCs w:val="18"/>
        </w:rPr>
        <w:t xml:space="preserve">所管：経理部</w:t>
      </w:r>
    </w:p>
    <w:p>
      <w:pPr>
        <w:pStyle w:val="Heading2"/>
        <w:spacing w:after="60" w:before="220"/>
      </w:pPr>
      <w:r>
        <w:rPr>
          <w:rFonts w:ascii="Yu Gothic" w:cs="Yu Gothic" w:eastAsia="Yu Gothic" w:hAnsi="Yu Gothic"/>
          <w:b/>
          <w:bCs/>
        </w:rPr>
        <w:t xml:space="preserve">主要勘定・見積り</w:t>
      </w:r>
    </w:p>
    <w:p>
      <w:pPr>
        <w:pStyle w:val="Heading3"/>
        <w:spacing w:after="60" w:before="200"/>
      </w:pPr>
      <w:r>
        <w:rPr>
          <w:rFonts w:ascii="Yu Gothic" w:cs="Yu Gothic" w:eastAsia="Yu Gothic" w:hAnsi="Yu Gothic"/>
          <w:b/>
          <w:bCs/>
        </w:rPr>
        <w:t xml:space="preserve">DEV-01　ソフトウェア開発費の資産化/費用化基準が不明確（主要勘定・見積り・上場阻害度 中・着手 N-2期下期）</w:t>
      </w:r>
    </w:p>
    <w:p>
      <w:pPr>
        <w:spacing w:after="60"/>
      </w:pPr>
      <w:r>
        <w:rPr>
          <w:rFonts w:ascii="Yu Gothic" w:cs="Yu Gothic" w:eastAsia="Yu Gothic" w:hAnsi="Yu Gothic"/>
          <w:b w:val="false"/>
          <w:bCs w:val="false"/>
          <w:sz w:val="18"/>
          <w:szCs w:val="18"/>
        </w:rPr>
        <w:t xml:space="preserve">現状：自社利用・市場販売目的のソフトウェア開発費を概ね発生時費用処理しているが、資産化要否の判定基準・耐用年数が文書化されていない。</w:t>
      </w:r>
    </w:p>
    <w:p>
      <w:pPr>
        <w:spacing w:after="60"/>
      </w:pPr>
      <w:r>
        <w:rPr>
          <w:rFonts w:ascii="Yu Gothic" w:cs="Yu Gothic" w:eastAsia="Yu Gothic" w:hAnsi="Yu Gothic"/>
          <w:b w:val="false"/>
          <w:bCs w:val="false"/>
          <w:sz w:val="18"/>
          <w:szCs w:val="18"/>
        </w:rPr>
        <w:t xml:space="preserve">課題・阻害リスク：将来の収益獲得が確実な開発について資産化の検討余地があり、費用/資産の区分が一貫しないと利益計上の妥当性が問われる。償却年数の根拠も未整備。</w:t>
      </w:r>
    </w:p>
    <w:p>
      <w:pPr>
        <w:spacing w:after="60"/>
      </w:pPr>
      <w:r>
        <w:rPr>
          <w:rFonts w:ascii="Yu Gothic" w:cs="Yu Gothic" w:eastAsia="Yu Gothic" w:hAnsi="Yu Gothic"/>
          <w:b w:val="false"/>
          <w:bCs w:val="false"/>
          <w:sz w:val="18"/>
          <w:szCs w:val="18"/>
        </w:rPr>
        <w:t xml:space="preserve">あるべき姿：研究開発費等会計基準、無形固定資産の減価償却実務</w:t>
      </w:r>
    </w:p>
    <w:p>
      <w:pPr>
        <w:spacing w:after="60"/>
      </w:pPr>
      <w:r>
        <w:rPr>
          <w:rFonts w:ascii="Yu Gothic" w:cs="Yu Gothic" w:eastAsia="Yu Gothic" w:hAnsi="Yu Gothic"/>
          <w:b w:val="false"/>
          <w:bCs w:val="false"/>
          <w:sz w:val="18"/>
          <w:szCs w:val="18"/>
        </w:rPr>
        <w:t xml:space="preserve">改善提案：研究開発フェーズと開発フェーズの区分基準、資産化要件・耐用年数・減損判定ルールを規程化し、プロジェクト別に工数・原価を把握する仕組みを構築する。</w:t>
      </w:r>
    </w:p>
    <w:p>
      <w:pPr>
        <w:spacing w:after="60"/>
      </w:pPr>
      <w:r>
        <w:rPr>
          <w:rFonts w:ascii="Yu Gothic" w:cs="Yu Gothic" w:eastAsia="Yu Gothic" w:hAnsi="Yu Gothic"/>
          <w:b w:val="false"/>
          <w:bCs w:val="false"/>
          <w:sz w:val="18"/>
          <w:szCs w:val="18"/>
        </w:rPr>
        <w:t xml:space="preserve">所管：経理部・開発部</w:t>
      </w:r>
    </w:p>
    <w:p>
      <w:pPr>
        <w:pStyle w:val="Heading2"/>
        <w:spacing w:after="60" w:before="220"/>
      </w:pPr>
      <w:r>
        <w:rPr>
          <w:rFonts w:ascii="Yu Gothic" w:cs="Yu Gothic" w:eastAsia="Yu Gothic" w:hAnsi="Yu Gothic"/>
          <w:b/>
          <w:bCs/>
        </w:rPr>
        <w:t xml:space="preserve">開示・KPI</w:t>
      </w:r>
    </w:p>
    <w:p>
      <w:pPr>
        <w:pStyle w:val="Heading3"/>
        <w:spacing w:after="60" w:before="200"/>
      </w:pPr>
      <w:r>
        <w:rPr>
          <w:rFonts w:ascii="Yu Gothic" w:cs="Yu Gothic" w:eastAsia="Yu Gothic" w:hAnsi="Yu Gothic"/>
          <w:b/>
          <w:bCs/>
        </w:rPr>
        <w:t xml:space="preserve">KPI-01　ARR/MRR等KPIの定義・算定根拠の未統一（開示・KPI・上場阻害度 高・着手 N-2期上期）</w:t>
      </w:r>
    </w:p>
    <w:p>
      <w:pPr>
        <w:spacing w:after="60"/>
      </w:pPr>
      <w:r>
        <w:rPr>
          <w:rFonts w:ascii="Yu Gothic" w:cs="Yu Gothic" w:eastAsia="Yu Gothic" w:hAnsi="Yu Gothic"/>
          <w:b w:val="false"/>
          <w:bCs w:val="false"/>
          <w:sz w:val="18"/>
          <w:szCs w:val="18"/>
        </w:rPr>
        <w:t xml:space="preserve">現状：ARR・MRR・チャーンレート・CAC・LTVを社内管理に利用しているが、算定定義が部門間で不統一で、会計数値との整合が取れていない。</w:t>
      </w:r>
    </w:p>
    <w:p>
      <w:pPr>
        <w:spacing w:after="60"/>
      </w:pPr>
      <w:r>
        <w:rPr>
          <w:rFonts w:ascii="Yu Gothic" w:cs="Yu Gothic" w:eastAsia="Yu Gothic" w:hAnsi="Yu Gothic"/>
          <w:b w:val="false"/>
          <w:bCs w:val="false"/>
          <w:sz w:val="18"/>
          <w:szCs w:val="18"/>
        </w:rPr>
        <w:t xml:space="preserve">課題・阻害リスク：グロース市場では成長性KPIが投資判断の中核となるが、定義が曖昧だと開示の信頼性を欠き、監査・主幹事レビューで指摘を受ける。会計数値との突合プロセスもない。</w:t>
      </w:r>
    </w:p>
    <w:p>
      <w:pPr>
        <w:spacing w:after="60"/>
      </w:pPr>
      <w:r>
        <w:rPr>
          <w:rFonts w:ascii="Yu Gothic" w:cs="Yu Gothic" w:eastAsia="Yu Gothic" w:hAnsi="Yu Gothic"/>
          <w:b w:val="false"/>
          <w:bCs w:val="false"/>
          <w:sz w:val="18"/>
          <w:szCs w:val="18"/>
        </w:rPr>
        <w:t xml:space="preserve">あるべき姿：記述情報の開示原則、東証グロース市場の事業計画・成長可能性開示</w:t>
      </w:r>
    </w:p>
    <w:p>
      <w:pPr>
        <w:spacing w:after="60"/>
      </w:pPr>
      <w:r>
        <w:rPr>
          <w:rFonts w:ascii="Yu Gothic" w:cs="Yu Gothic" w:eastAsia="Yu Gothic" w:hAnsi="Yu Gothic"/>
          <w:b w:val="false"/>
          <w:bCs w:val="false"/>
          <w:sz w:val="18"/>
          <w:szCs w:val="18"/>
        </w:rPr>
        <w:t xml:space="preserve">改善提案：主要KPIの定義書(算定式・集計対象・除外条件)を整備し、会計数値との突合・検証プロセスを構築。開示KPIは継続性・比較可能性を担保する。</w:t>
      </w:r>
    </w:p>
    <w:p>
      <w:pPr>
        <w:spacing w:after="60"/>
      </w:pPr>
      <w:r>
        <w:rPr>
          <w:rFonts w:ascii="Yu Gothic" w:cs="Yu Gothic" w:eastAsia="Yu Gothic" w:hAnsi="Yu Gothic"/>
          <w:b w:val="false"/>
          <w:bCs w:val="false"/>
          <w:sz w:val="18"/>
          <w:szCs w:val="18"/>
        </w:rPr>
        <w:t xml:space="preserve">所管：経営企画部・経理部</w:t>
      </w:r>
    </w:p>
    <w:p>
      <w:pPr>
        <w:pStyle w:val="Heading2"/>
        <w:spacing w:after="60" w:before="220"/>
      </w:pPr>
      <w:r>
        <w:rPr>
          <w:rFonts w:ascii="Yu Gothic" w:cs="Yu Gothic" w:eastAsia="Yu Gothic" w:hAnsi="Yu Gothic"/>
          <w:b/>
          <w:bCs/>
        </w:rPr>
        <w:t xml:space="preserve">資本政策</w:t>
      </w:r>
    </w:p>
    <w:p>
      <w:pPr>
        <w:pStyle w:val="Heading3"/>
        <w:spacing w:after="60" w:before="200"/>
      </w:pPr>
      <w:r>
        <w:rPr>
          <w:rFonts w:ascii="Yu Gothic" w:cs="Yu Gothic" w:eastAsia="Yu Gothic" w:hAnsi="Yu Gothic"/>
          <w:b/>
          <w:bCs/>
        </w:rPr>
        <w:t xml:space="preserve">SO-01　ストックオプションの公正価値評価・費用計上未整備（資本政策・上場阻害度 高・着手 N-2期上期）</w:t>
      </w:r>
    </w:p>
    <w:p>
      <w:pPr>
        <w:spacing w:after="60"/>
      </w:pPr>
      <w:r>
        <w:rPr>
          <w:rFonts w:ascii="Yu Gothic" w:cs="Yu Gothic" w:eastAsia="Yu Gothic" w:hAnsi="Yu Gothic"/>
          <w:b w:val="false"/>
          <w:bCs w:val="false"/>
          <w:sz w:val="18"/>
          <w:szCs w:val="18"/>
        </w:rPr>
        <w:t xml:space="preserve">現状：インセンティブとしてSO発行を予定/実施しているが、付与時の公正価値評価や株式報酬費用の計上ロジックが整理されていない。</w:t>
      </w:r>
    </w:p>
    <w:p>
      <w:pPr>
        <w:spacing w:after="60"/>
      </w:pPr>
      <w:r>
        <w:rPr>
          <w:rFonts w:ascii="Yu Gothic" w:cs="Yu Gothic" w:eastAsia="Yu Gothic" w:hAnsi="Yu Gothic"/>
          <w:b w:val="false"/>
          <w:bCs w:val="false"/>
          <w:sz w:val="18"/>
          <w:szCs w:val="18"/>
        </w:rPr>
        <w:t xml:space="preserve">課題・阻害リスク：権利確定条件・公正価値(オプション評価モデル)の評価が未実施だと、株式報酬費用の計上漏れ・誤りが生じる。税制適格要件や発行手続の適法性も論点。</w:t>
      </w:r>
    </w:p>
    <w:p>
      <w:pPr>
        <w:spacing w:after="60"/>
      </w:pPr>
      <w:r>
        <w:rPr>
          <w:rFonts w:ascii="Yu Gothic" w:cs="Yu Gothic" w:eastAsia="Yu Gothic" w:hAnsi="Yu Gothic"/>
          <w:b w:val="false"/>
          <w:bCs w:val="false"/>
          <w:sz w:val="18"/>
          <w:szCs w:val="18"/>
        </w:rPr>
        <w:t xml:space="preserve">あるべき姿：ストック・オプション等会計基準、会社法上の発行手続</w:t>
      </w:r>
    </w:p>
    <w:p>
      <w:pPr>
        <w:spacing w:after="60"/>
      </w:pPr>
      <w:r>
        <w:rPr>
          <w:rFonts w:ascii="Yu Gothic" w:cs="Yu Gothic" w:eastAsia="Yu Gothic" w:hAnsi="Yu Gothic"/>
          <w:b w:val="false"/>
          <w:bCs w:val="false"/>
          <w:sz w:val="18"/>
          <w:szCs w:val="18"/>
        </w:rPr>
        <w:t xml:space="preserve">改善提案：既発行・発行予定SOを棚卸しし、付与日・行使条件・評価モデルを整理。公正価値評価と費用計上スケジュールを策定。税制適格要件と発行手続の適法性を弁護士と確認する。</w:t>
      </w:r>
    </w:p>
    <w:p>
      <w:pPr>
        <w:spacing w:after="60"/>
      </w:pPr>
      <w:r>
        <w:rPr>
          <w:rFonts w:ascii="Yu Gothic" w:cs="Yu Gothic" w:eastAsia="Yu Gothic" w:hAnsi="Yu Gothic"/>
          <w:b w:val="false"/>
          <w:bCs w:val="false"/>
          <w:sz w:val="18"/>
          <w:szCs w:val="18"/>
        </w:rPr>
        <w:t xml:space="preserve">所管：経営企画部・経理部・法務</w:t>
      </w:r>
    </w:p>
    <w:p>
      <w:pPr>
        <w:pStyle w:val="Heading2"/>
        <w:spacing w:after="60" w:before="220"/>
      </w:pPr>
      <w:r>
        <w:rPr>
          <w:rFonts w:ascii="Yu Gothic" w:cs="Yu Gothic" w:eastAsia="Yu Gothic" w:hAnsi="Yu Gothic"/>
          <w:b/>
          <w:bCs/>
        </w:rPr>
        <w:t xml:space="preserve">関連当事者</w:t>
      </w:r>
    </w:p>
    <w:p>
      <w:pPr>
        <w:pStyle w:val="Heading3"/>
        <w:spacing w:after="60" w:before="200"/>
      </w:pPr>
      <w:r>
        <w:rPr>
          <w:rFonts w:ascii="Yu Gothic" w:cs="Yu Gothic" w:eastAsia="Yu Gothic" w:hAnsi="Yu Gothic"/>
          <w:b/>
          <w:bCs/>
        </w:rPr>
        <w:t xml:space="preserve">RPT-01　関連当事者取引の網羅的把握と取引条件の妥当性（関連当事者・上場阻害度 高・着手 N-2期上期〜下期）</w:t>
      </w:r>
    </w:p>
    <w:p>
      <w:pPr>
        <w:spacing w:after="60"/>
      </w:pPr>
      <w:r>
        <w:rPr>
          <w:rFonts w:ascii="Yu Gothic" w:cs="Yu Gothic" w:eastAsia="Yu Gothic" w:hAnsi="Yu Gothic"/>
          <w:b w:val="false"/>
          <w:bCs w:val="false"/>
          <w:sz w:val="18"/>
          <w:szCs w:val="18"/>
        </w:rPr>
        <w:t xml:space="preserve">現状：役員・株主・関係会社との取引が一部存在するが、関連当事者の一覧管理と取引条件の独立企業間価格の検証が未実施。</w:t>
      </w:r>
    </w:p>
    <w:p>
      <w:pPr>
        <w:spacing w:after="60"/>
      </w:pPr>
      <w:r>
        <w:rPr>
          <w:rFonts w:ascii="Yu Gothic" w:cs="Yu Gothic" w:eastAsia="Yu Gothic" w:hAnsi="Yu Gothic"/>
          <w:b w:val="false"/>
          <w:bCs w:val="false"/>
          <w:sz w:val="18"/>
          <w:szCs w:val="18"/>
        </w:rPr>
        <w:t xml:space="preserve">課題・阻害リスク：関連当事者取引の網羅的把握と開示準備が不十分。取引条件が不利・恣意的だと利益相反・取引の整理(解消)を求められる。</w:t>
      </w:r>
    </w:p>
    <w:p>
      <w:pPr>
        <w:spacing w:after="60"/>
      </w:pPr>
      <w:r>
        <w:rPr>
          <w:rFonts w:ascii="Yu Gothic" w:cs="Yu Gothic" w:eastAsia="Yu Gothic" w:hAnsi="Yu Gothic"/>
          <w:b w:val="false"/>
          <w:bCs w:val="false"/>
          <w:sz w:val="18"/>
          <w:szCs w:val="18"/>
        </w:rPr>
        <w:t xml:space="preserve">あるべき姿：関連当事者の開示に関する会計基準、上場審査基準</w:t>
      </w:r>
    </w:p>
    <w:p>
      <w:pPr>
        <w:spacing w:after="60"/>
      </w:pPr>
      <w:r>
        <w:rPr>
          <w:rFonts w:ascii="Yu Gothic" w:cs="Yu Gothic" w:eastAsia="Yu Gothic" w:hAnsi="Yu Gothic"/>
          <w:b w:val="false"/>
          <w:bCs w:val="false"/>
          <w:sz w:val="18"/>
          <w:szCs w:val="18"/>
        </w:rPr>
        <w:t xml:space="preserve">改善提案：関連当事者の定義に基づき範囲を確定し取引一覧を作成。取引条件の合理性を検証し、不要・不適切な取引は上場前に解消。開示様式に沿った集計体制を整備する。</w:t>
      </w:r>
    </w:p>
    <w:p>
      <w:pPr>
        <w:spacing w:after="60"/>
      </w:pPr>
      <w:r>
        <w:rPr>
          <w:rFonts w:ascii="Yu Gothic" w:cs="Yu Gothic" w:eastAsia="Yu Gothic" w:hAnsi="Yu Gothic"/>
          <w:b w:val="false"/>
          <w:bCs w:val="false"/>
          <w:sz w:val="18"/>
          <w:szCs w:val="18"/>
        </w:rPr>
        <w:t xml:space="preserve">所管：経理部・法務・経営企画部</w:t>
      </w:r>
    </w:p>
    <w:p>
      <w:pPr>
        <w:pStyle w:val="Heading2"/>
        <w:spacing w:after="60" w:before="220"/>
      </w:pPr>
      <w:r>
        <w:rPr>
          <w:rFonts w:ascii="Yu Gothic" w:cs="Yu Gothic" w:eastAsia="Yu Gothic" w:hAnsi="Yu Gothic"/>
          <w:b/>
          <w:bCs/>
        </w:rPr>
        <w:t xml:space="preserve">内部統制(IT全般統制)</w:t>
      </w:r>
    </w:p>
    <w:p>
      <w:pPr>
        <w:pStyle w:val="Heading3"/>
        <w:spacing w:after="60" w:before="200"/>
      </w:pPr>
      <w:r>
        <w:rPr>
          <w:rFonts w:ascii="Yu Gothic" w:cs="Yu Gothic" w:eastAsia="Yu Gothic" w:hAnsi="Yu Gothic"/>
          <w:b/>
          <w:bCs/>
        </w:rPr>
        <w:t xml:space="preserve">ITGC-01　本番環境アクセス・変更権限管理の脆弱性（内部統制(IT全般統制)・上場阻害度 高・着手 N-2期上期〜下期）</w:t>
      </w:r>
    </w:p>
    <w:p>
      <w:pPr>
        <w:spacing w:after="60"/>
      </w:pPr>
      <w:r>
        <w:rPr>
          <w:rFonts w:ascii="Yu Gothic" w:cs="Yu Gothic" w:eastAsia="Yu Gothic" w:hAnsi="Yu Gothic"/>
          <w:b w:val="false"/>
          <w:bCs w:val="false"/>
          <w:sz w:val="18"/>
          <w:szCs w:val="18"/>
        </w:rPr>
        <w:t xml:space="preserve">現状：開発者が本番環境へ広範なアクセス権を持ち、変更管理(リリース承認)のゲートが明文化されていない。</w:t>
      </w:r>
    </w:p>
    <w:p>
      <w:pPr>
        <w:spacing w:after="60"/>
      </w:pPr>
      <w:r>
        <w:rPr>
          <w:rFonts w:ascii="Yu Gothic" w:cs="Yu Gothic" w:eastAsia="Yu Gothic" w:hAnsi="Yu Gothic"/>
          <w:b w:val="false"/>
          <w:bCs w:val="false"/>
          <w:sz w:val="18"/>
          <w:szCs w:val="18"/>
        </w:rPr>
        <w:t xml:space="preserve">課題・阻害リスク：職務分掌が不十分で、本番環境への不正変更・権限濫用リスクが高い。収益計上ロジックの改ざんリスクにも直結し、IT全般統制上の重大な欠陥となりうる。</w:t>
      </w:r>
    </w:p>
    <w:p>
      <w:pPr>
        <w:spacing w:after="60"/>
      </w:pPr>
      <w:r>
        <w:rPr>
          <w:rFonts w:ascii="Yu Gothic" w:cs="Yu Gothic" w:eastAsia="Yu Gothic" w:hAnsi="Yu Gothic"/>
          <w:b w:val="false"/>
          <w:bCs w:val="false"/>
          <w:sz w:val="18"/>
          <w:szCs w:val="18"/>
        </w:rPr>
        <w:t xml:space="preserve">あるべき姿：財務報告に係る内部統制(実施基準)、IT全般統制</w:t>
      </w:r>
    </w:p>
    <w:p>
      <w:pPr>
        <w:spacing w:after="60"/>
      </w:pPr>
      <w:r>
        <w:rPr>
          <w:rFonts w:ascii="Yu Gothic" w:cs="Yu Gothic" w:eastAsia="Yu Gothic" w:hAnsi="Yu Gothic"/>
          <w:b w:val="false"/>
          <w:bCs w:val="false"/>
          <w:sz w:val="18"/>
          <w:szCs w:val="18"/>
        </w:rPr>
        <w:t xml:space="preserve">改善提案：開発・本番環境を分離し、リリース承認のゲート管理・変更管理手続を整備。アクセス権を職務に応じ最小化し、定期的な権限レビュー(ロール別)を実施する。</w:t>
      </w:r>
    </w:p>
    <w:p>
      <w:pPr>
        <w:spacing w:after="60"/>
      </w:pPr>
      <w:r>
        <w:rPr>
          <w:rFonts w:ascii="Yu Gothic" w:cs="Yu Gothic" w:eastAsia="Yu Gothic" w:hAnsi="Yu Gothic"/>
          <w:b w:val="false"/>
          <w:bCs w:val="false"/>
          <w:sz w:val="18"/>
          <w:szCs w:val="18"/>
        </w:rPr>
        <w:t xml:space="preserve">所管：開発部・情報システム部</w:t>
      </w:r>
    </w:p>
    <w:p>
      <w:pPr>
        <w:pStyle w:val="Heading2"/>
        <w:spacing w:after="60" w:before="220"/>
      </w:pPr>
      <w:r>
        <w:rPr>
          <w:rFonts w:ascii="Yu Gothic" w:cs="Yu Gothic" w:eastAsia="Yu Gothic" w:hAnsi="Yu Gothic"/>
          <w:b/>
          <w:bCs/>
        </w:rPr>
        <w:t xml:space="preserve">内部統制(業務処理統制)</w:t>
      </w:r>
    </w:p>
    <w:p>
      <w:pPr>
        <w:pStyle w:val="Heading3"/>
        <w:spacing w:after="60" w:before="200"/>
      </w:pPr>
      <w:r>
        <w:rPr>
          <w:rFonts w:ascii="Yu Gothic" w:cs="Yu Gothic" w:eastAsia="Yu Gothic" w:hAnsi="Yu Gothic"/>
          <w:b/>
          <w:bCs/>
        </w:rPr>
        <w:t xml:space="preserve">ITAC-01　収益計上・請求・返金処理の自動化統制の検証不足（内部統制(業務処理統制)・上場阻害度 中・着手 N-2期下期）</w:t>
      </w:r>
    </w:p>
    <w:p>
      <w:pPr>
        <w:spacing w:after="60"/>
      </w:pPr>
      <w:r>
        <w:rPr>
          <w:rFonts w:ascii="Yu Gothic" w:cs="Yu Gothic" w:eastAsia="Yu Gothic" w:hAnsi="Yu Gothic"/>
          <w:b w:val="false"/>
          <w:bCs w:val="false"/>
          <w:sz w:val="18"/>
          <w:szCs w:val="18"/>
        </w:rPr>
        <w:t xml:space="preserve">現状：月額請求・収益計上・返金処理がシステム化されているが、計算ロジックの妥当性検証や例外処理の統制が確立されていない。</w:t>
      </w:r>
    </w:p>
    <w:p>
      <w:pPr>
        <w:spacing w:after="60"/>
      </w:pPr>
      <w:r>
        <w:rPr>
          <w:rFonts w:ascii="Yu Gothic" w:cs="Yu Gothic" w:eastAsia="Yu Gothic" w:hAnsi="Yu Gothic"/>
          <w:b w:val="false"/>
          <w:bCs w:val="false"/>
          <w:sz w:val="18"/>
          <w:szCs w:val="18"/>
        </w:rPr>
        <w:t xml:space="preserve">課題・阻害リスク：請求・収益計上の自動計算に誤りがあっても検知できない。例外(中途解約・日割・返金)の処理統制が弱く、収益の正確性を担保できない。</w:t>
      </w:r>
    </w:p>
    <w:p>
      <w:pPr>
        <w:spacing w:after="60"/>
      </w:pPr>
      <w:r>
        <w:rPr>
          <w:rFonts w:ascii="Yu Gothic" w:cs="Yu Gothic" w:eastAsia="Yu Gothic" w:hAnsi="Yu Gothic"/>
          <w:b w:val="false"/>
          <w:bCs w:val="false"/>
          <w:sz w:val="18"/>
          <w:szCs w:val="18"/>
        </w:rPr>
        <w:t xml:space="preserve">あるべき姿：財務報告に係る内部統制(業務処理統制)</w:t>
      </w:r>
    </w:p>
    <w:p>
      <w:pPr>
        <w:spacing w:after="60"/>
      </w:pPr>
      <w:r>
        <w:rPr>
          <w:rFonts w:ascii="Yu Gothic" w:cs="Yu Gothic" w:eastAsia="Yu Gothic" w:hAnsi="Yu Gothic"/>
          <w:b w:val="false"/>
          <w:bCs w:val="false"/>
          <w:sz w:val="18"/>
          <w:szCs w:val="18"/>
        </w:rPr>
        <w:t xml:space="preserve">改善提案：収益計上・請求・返金の自動化ロジックを文書化し、定期的な妥当性検証(再計算・突合)とインプット/例外処理のコントロールを整備する。</w:t>
      </w:r>
    </w:p>
    <w:p>
      <w:pPr>
        <w:spacing w:after="60"/>
      </w:pPr>
      <w:r>
        <w:rPr>
          <w:rFonts w:ascii="Yu Gothic" w:cs="Yu Gothic" w:eastAsia="Yu Gothic" w:hAnsi="Yu Gothic"/>
          <w:b w:val="false"/>
          <w:bCs w:val="false"/>
          <w:sz w:val="18"/>
          <w:szCs w:val="18"/>
        </w:rPr>
        <w:t xml:space="preserve">所管：経理部・情報システム部</w:t>
      </w:r>
    </w:p>
    <w:p>
      <w:pPr>
        <w:pStyle w:val="Heading2"/>
        <w:spacing w:after="60" w:before="220"/>
      </w:pPr>
      <w:r>
        <w:rPr>
          <w:rFonts w:ascii="Yu Gothic" w:cs="Yu Gothic" w:eastAsia="Yu Gothic" w:hAnsi="Yu Gothic"/>
          <w:b/>
          <w:bCs/>
        </w:rPr>
        <w:t xml:space="preserve">特有リスク・統制</w:t>
      </w:r>
    </w:p>
    <w:p>
      <w:pPr>
        <w:pStyle w:val="Heading3"/>
        <w:spacing w:after="60" w:before="200"/>
      </w:pPr>
      <w:r>
        <w:rPr>
          <w:rFonts w:ascii="Yu Gothic" w:cs="Yu Gothic" w:eastAsia="Yu Gothic" w:hAnsi="Yu Gothic"/>
          <w:b/>
          <w:bCs/>
        </w:rPr>
        <w:t xml:space="preserve">SEC-01　セキュリティ監視・監査ログ管理の整備（特有リスク・統制・上場阻害度 中・着手 N-2期下期）</w:t>
      </w:r>
    </w:p>
    <w:p>
      <w:pPr>
        <w:spacing w:after="60"/>
      </w:pPr>
      <w:r>
        <w:rPr>
          <w:rFonts w:ascii="Yu Gothic" w:cs="Yu Gothic" w:eastAsia="Yu Gothic" w:hAnsi="Yu Gothic"/>
          <w:b w:val="false"/>
          <w:bCs w:val="false"/>
          <w:sz w:val="18"/>
          <w:szCs w:val="18"/>
        </w:rPr>
        <w:t xml:space="preserve">現状：監査ログの記録は一部行われているが、保管期間・監視体制・インシデント対応手順が規程として整備されていない。</w:t>
      </w:r>
    </w:p>
    <w:p>
      <w:pPr>
        <w:spacing w:after="60"/>
      </w:pPr>
      <w:r>
        <w:rPr>
          <w:rFonts w:ascii="Yu Gothic" w:cs="Yu Gothic" w:eastAsia="Yu Gothic" w:hAnsi="Yu Gothic"/>
          <w:b w:val="false"/>
          <w:bCs w:val="false"/>
          <w:sz w:val="18"/>
          <w:szCs w:val="18"/>
        </w:rPr>
        <w:t xml:space="preserve">課題・阻害リスク：データ漏洩・不正アクセス発生時の検知・追跡・対応が不十分。顧客データ管理責任・契約違反時の損害賠償リスクへの備えが弱い。</w:t>
      </w:r>
    </w:p>
    <w:p>
      <w:pPr>
        <w:spacing w:after="60"/>
      </w:pPr>
      <w:r>
        <w:rPr>
          <w:rFonts w:ascii="Yu Gothic" w:cs="Yu Gothic" w:eastAsia="Yu Gothic" w:hAnsi="Yu Gothic"/>
          <w:b w:val="false"/>
          <w:bCs w:val="false"/>
          <w:sz w:val="18"/>
          <w:szCs w:val="18"/>
        </w:rPr>
        <w:t xml:space="preserve">あるべき姿：システムリスク管理、情報セキュリティ管理体制</w:t>
      </w:r>
    </w:p>
    <w:p>
      <w:pPr>
        <w:spacing w:after="60"/>
      </w:pPr>
      <w:r>
        <w:rPr>
          <w:rFonts w:ascii="Yu Gothic" w:cs="Yu Gothic" w:eastAsia="Yu Gothic" w:hAnsi="Yu Gothic"/>
          <w:b w:val="false"/>
          <w:bCs w:val="false"/>
          <w:sz w:val="18"/>
          <w:szCs w:val="18"/>
        </w:rPr>
        <w:t xml:space="preserve">改善提案：監査ログの記録範囲・保管期間を定め、セキュリティ監視とインシデント対応手順を規程化。情報セキュリティポリシーを整備し有報開示に備える。</w:t>
      </w:r>
    </w:p>
    <w:p>
      <w:pPr>
        <w:spacing w:after="60"/>
      </w:pPr>
      <w:r>
        <w:rPr>
          <w:rFonts w:ascii="Yu Gothic" w:cs="Yu Gothic" w:eastAsia="Yu Gothic" w:hAnsi="Yu Gothic"/>
          <w:b w:val="false"/>
          <w:bCs w:val="false"/>
          <w:sz w:val="18"/>
          <w:szCs w:val="18"/>
        </w:rPr>
        <w:t xml:space="preserve">所管：情報システム部・管理部</w:t>
      </w:r>
    </w:p>
    <w:p>
      <w:pPr>
        <w:pStyle w:val="Heading2"/>
        <w:spacing w:after="60" w:before="220"/>
      </w:pPr>
      <w:r>
        <w:rPr>
          <w:rFonts w:ascii="Yu Gothic" w:cs="Yu Gothic" w:eastAsia="Yu Gothic" w:hAnsi="Yu Gothic"/>
          <w:b/>
          <w:bCs/>
        </w:rPr>
        <w:t xml:space="preserve">決算体制</w:t>
      </w:r>
    </w:p>
    <w:p>
      <w:pPr>
        <w:pStyle w:val="Heading3"/>
        <w:spacing w:after="60" w:before="200"/>
      </w:pPr>
      <w:r>
        <w:rPr>
          <w:rFonts w:ascii="Yu Gothic" w:cs="Yu Gothic" w:eastAsia="Yu Gothic" w:hAnsi="Yu Gothic"/>
          <w:b/>
          <w:bCs/>
        </w:rPr>
        <w:t xml:space="preserve">CLS-01　決算早期化と連結・開示体制の未確立（決算体制・上場阻害度 中・着手 N-2期下期〜N-1期）</w:t>
      </w:r>
    </w:p>
    <w:p>
      <w:pPr>
        <w:spacing w:after="60"/>
      </w:pPr>
      <w:r>
        <w:rPr>
          <w:rFonts w:ascii="Yu Gothic" w:cs="Yu Gothic" w:eastAsia="Yu Gothic" w:hAnsi="Yu Gothic"/>
          <w:b w:val="false"/>
          <w:bCs w:val="false"/>
          <w:sz w:val="18"/>
          <w:szCs w:val="18"/>
        </w:rPr>
        <w:t xml:space="preserve">現状：月次・四半期決算は実施しているが、決算スケジュール・チェックリストが未整備で、開示書類作成体制が確立されていない。</w:t>
      </w:r>
    </w:p>
    <w:p>
      <w:pPr>
        <w:spacing w:after="60"/>
      </w:pPr>
      <w:r>
        <w:rPr>
          <w:rFonts w:ascii="Yu Gothic" w:cs="Yu Gothic" w:eastAsia="Yu Gothic" w:hAnsi="Yu Gothic"/>
          <w:b w:val="false"/>
          <w:bCs w:val="false"/>
          <w:sz w:val="18"/>
          <w:szCs w:val="18"/>
        </w:rPr>
        <w:t xml:space="preserve">課題・阻害リスク：上場会社に求められる決算早期化(45日開示)に対応できず、見積り計上・開示注記の作成能力が不足。属人的な決算体制に依存している。</w:t>
      </w:r>
    </w:p>
    <w:p>
      <w:pPr>
        <w:spacing w:after="60"/>
      </w:pPr>
      <w:r>
        <w:rPr>
          <w:rFonts w:ascii="Yu Gothic" w:cs="Yu Gothic" w:eastAsia="Yu Gothic" w:hAnsi="Yu Gothic"/>
          <w:b w:val="false"/>
          <w:bCs w:val="false"/>
          <w:sz w:val="18"/>
          <w:szCs w:val="18"/>
        </w:rPr>
        <w:t xml:space="preserve">あるべき姿：金融商品取引法上の開示制度、上場会社の決算開示要件</w:t>
      </w:r>
    </w:p>
    <w:p>
      <w:pPr>
        <w:spacing w:after="60"/>
      </w:pPr>
      <w:r>
        <w:rPr>
          <w:rFonts w:ascii="Yu Gothic" w:cs="Yu Gothic" w:eastAsia="Yu Gothic" w:hAnsi="Yu Gothic"/>
          <w:b w:val="false"/>
          <w:bCs w:val="false"/>
          <w:sz w:val="18"/>
          <w:szCs w:val="18"/>
        </w:rPr>
        <w:t xml:space="preserve">改善提案：決算スケジュール・勘定明細・チェックリストを整備し決算早期化を推進。経理人員の増強と開示資料(注記・KPI)作成体制を構築する。</w:t>
      </w:r>
    </w:p>
    <w:p>
      <w:pPr>
        <w:spacing w:after="60"/>
      </w:pPr>
      <w:r>
        <w:rPr>
          <w:rFonts w:ascii="Yu Gothic" w:cs="Yu Gothic" w:eastAsia="Yu Gothic" w:hAnsi="Yu Gothic"/>
          <w:b w:val="false"/>
          <w:bCs w:val="false"/>
          <w:sz w:val="18"/>
          <w:szCs w:val="18"/>
        </w:rPr>
        <w:t xml:space="preserve">所管：経理部</w:t>
      </w:r>
    </w:p>
    <w:p>
      <w:pPr>
        <w:pStyle w:val="Heading2"/>
        <w:spacing w:after="60" w:before="220"/>
      </w:pPr>
      <w:r>
        <w:rPr>
          <w:rFonts w:ascii="Yu Gothic" w:cs="Yu Gothic" w:eastAsia="Yu Gothic" w:hAnsi="Yu Gothic"/>
          <w:b/>
          <w:bCs/>
        </w:rPr>
        <w:t xml:space="preserve">ガバナンス</w:t>
      </w:r>
    </w:p>
    <w:p>
      <w:pPr>
        <w:pStyle w:val="Heading3"/>
        <w:spacing w:after="60" w:before="200"/>
      </w:pPr>
      <w:r>
        <w:rPr>
          <w:rFonts w:ascii="Yu Gothic" w:cs="Yu Gothic" w:eastAsia="Yu Gothic" w:hAnsi="Yu Gothic"/>
          <w:b/>
          <w:bCs/>
        </w:rPr>
        <w:t xml:space="preserve">GOV-01　取締役会・監査体制・規程類の整備状況（ガバナンス・上場阻害度 中・着手 N-2期〜N-1期）</w:t>
      </w:r>
    </w:p>
    <w:p>
      <w:pPr>
        <w:spacing w:after="60"/>
      </w:pPr>
      <w:r>
        <w:rPr>
          <w:rFonts w:ascii="Yu Gothic" w:cs="Yu Gothic" w:eastAsia="Yu Gothic" w:hAnsi="Yu Gothic"/>
          <w:b w:val="false"/>
          <w:bCs w:val="false"/>
          <w:sz w:val="18"/>
          <w:szCs w:val="18"/>
        </w:rPr>
        <w:t xml:space="preserve">現状：取締役会は運営されているが、グロース市場上場に必要な機関設計・社外役員・内部監査機能が十分でない。</w:t>
      </w:r>
    </w:p>
    <w:p>
      <w:pPr>
        <w:spacing w:after="60"/>
      </w:pPr>
      <w:r>
        <w:rPr>
          <w:rFonts w:ascii="Yu Gothic" w:cs="Yu Gothic" w:eastAsia="Yu Gothic" w:hAnsi="Yu Gothic"/>
          <w:b w:val="false"/>
          <w:bCs w:val="false"/>
          <w:sz w:val="18"/>
          <w:szCs w:val="18"/>
        </w:rPr>
        <w:t xml:space="preserve">課題・阻害リスク：監査役(会)・内部監査・会計監査の三様監査体制や、職務権限規程等の整備が不十分だと上場審査で指摘を受ける。</w:t>
      </w:r>
    </w:p>
    <w:p>
      <w:pPr>
        <w:spacing w:after="60"/>
      </w:pPr>
      <w:r>
        <w:rPr>
          <w:rFonts w:ascii="Yu Gothic" w:cs="Yu Gothic" w:eastAsia="Yu Gothic" w:hAnsi="Yu Gothic"/>
          <w:b w:val="false"/>
          <w:bCs w:val="false"/>
          <w:sz w:val="18"/>
          <w:szCs w:val="18"/>
        </w:rPr>
        <w:t xml:space="preserve">あるべき姿：会社法、コーポレートガバナンス・コード(グロース市場適用範囲)、上場審査基準</w:t>
      </w:r>
    </w:p>
    <w:p>
      <w:pPr>
        <w:spacing w:after="60"/>
      </w:pPr>
      <w:r>
        <w:rPr>
          <w:rFonts w:ascii="Yu Gothic" w:cs="Yu Gothic" w:eastAsia="Yu Gothic" w:hAnsi="Yu Gothic"/>
          <w:b w:val="false"/>
          <w:bCs w:val="false"/>
          <w:sz w:val="18"/>
          <w:szCs w:val="18"/>
        </w:rPr>
        <w:t xml:space="preserve">改善提案：機関設計(社外役員選任含む)を整備し、内部監査部門を設置。職務権限・稟議・各種社内規程を体系的に整備・運用する。</w:t>
      </w:r>
    </w:p>
    <w:p>
      <w:pPr>
        <w:spacing w:after="60"/>
      </w:pPr>
      <w:r>
        <w:rPr>
          <w:rFonts w:ascii="Yu Gothic" w:cs="Yu Gothic" w:eastAsia="Yu Gothic" w:hAnsi="Yu Gothic"/>
          <w:b w:val="false"/>
          <w:bCs w:val="false"/>
          <w:sz w:val="18"/>
          <w:szCs w:val="18"/>
        </w:rPr>
        <w:t xml:space="preserve">所管：経営企画部・管理部</w:t>
      </w:r>
    </w:p>
    <w:p>
      <w:pPr>
        <w:pStyle w:val="Heading2"/>
        <w:spacing w:after="60" w:before="220"/>
      </w:pPr>
      <w:r>
        <w:rPr>
          <w:rFonts w:ascii="Yu Gothic" w:cs="Yu Gothic" w:eastAsia="Yu Gothic" w:hAnsi="Yu Gothic"/>
          <w:b/>
          <w:bCs/>
        </w:rPr>
        <w:t xml:space="preserve">労務</w:t>
      </w:r>
    </w:p>
    <w:p>
      <w:pPr>
        <w:pStyle w:val="Heading3"/>
        <w:spacing w:after="60" w:before="200"/>
      </w:pPr>
      <w:r>
        <w:rPr>
          <w:rFonts w:ascii="Yu Gothic" w:cs="Yu Gothic" w:eastAsia="Yu Gothic" w:hAnsi="Yu Gothic"/>
          <w:b/>
          <w:bCs/>
        </w:rPr>
        <w:t xml:space="preserve">LAB-01　労務管理・未払残業の潜在リスク（労務・上場阻害度 中・着手 N-2期上期）</w:t>
      </w:r>
    </w:p>
    <w:p>
      <w:pPr>
        <w:spacing w:after="60"/>
      </w:pPr>
      <w:r>
        <w:rPr>
          <w:rFonts w:ascii="Yu Gothic" w:cs="Yu Gothic" w:eastAsia="Yu Gothic" w:hAnsi="Yu Gothic"/>
          <w:b w:val="false"/>
          <w:bCs w:val="false"/>
          <w:sz w:val="18"/>
          <w:szCs w:val="18"/>
        </w:rPr>
        <w:t xml:space="preserve">現状：エンジニア中心の組織で、勤怠管理や裁量労働制の運用、固定残業代の整合性の検証が十分でない。</w:t>
      </w:r>
    </w:p>
    <w:p>
      <w:pPr>
        <w:spacing w:after="60"/>
      </w:pPr>
      <w:r>
        <w:rPr>
          <w:rFonts w:ascii="Yu Gothic" w:cs="Yu Gothic" w:eastAsia="Yu Gothic" w:hAnsi="Yu Gothic"/>
          <w:b w:val="false"/>
          <w:bCs w:val="false"/>
          <w:sz w:val="18"/>
          <w:szCs w:val="18"/>
        </w:rPr>
        <w:t xml:space="preserve">課題・阻害リスク：未払残業・労働時間管理の不備は上場審査で重大論点。引当不足や遡及支払が財務に影響する可能性。</w:t>
      </w:r>
    </w:p>
    <w:p>
      <w:pPr>
        <w:spacing w:after="60"/>
      </w:pPr>
      <w:r>
        <w:rPr>
          <w:rFonts w:ascii="Yu Gothic" w:cs="Yu Gothic" w:eastAsia="Yu Gothic" w:hAnsi="Yu Gothic"/>
          <w:b w:val="false"/>
          <w:bCs w:val="false"/>
          <w:sz w:val="18"/>
          <w:szCs w:val="18"/>
        </w:rPr>
        <w:t xml:space="preserve">あるべき姿：労働基準法、上場審査における労務コンプライアンス</w:t>
      </w:r>
    </w:p>
    <w:p>
      <w:pPr>
        <w:spacing w:after="60"/>
      </w:pPr>
      <w:r>
        <w:rPr>
          <w:rFonts w:ascii="Yu Gothic" w:cs="Yu Gothic" w:eastAsia="Yu Gothic" w:hAnsi="Yu Gothic"/>
          <w:b w:val="false"/>
          <w:bCs w:val="false"/>
          <w:sz w:val="18"/>
          <w:szCs w:val="18"/>
        </w:rPr>
        <w:t xml:space="preserve">改善提案：勤怠実態を点検し、労働時間管理・割増賃金の適正性を検証。未払残業があれば是正・引当計上。36協定・就業規則の整備状況を確認する。</w:t>
      </w:r>
    </w:p>
    <w:p>
      <w:pPr>
        <w:spacing w:after="60"/>
      </w:pPr>
      <w:r>
        <w:rPr>
          <w:rFonts w:ascii="Yu Gothic" w:cs="Yu Gothic" w:eastAsia="Yu Gothic" w:hAnsi="Yu Gothic"/>
          <w:b w:val="false"/>
          <w:bCs w:val="false"/>
          <w:sz w:val="18"/>
          <w:szCs w:val="18"/>
        </w:rPr>
        <w:t xml:space="preserve">所管：人事部・管理部</w:t>
      </w:r>
    </w:p>
    <w:p>
      <w:pPr>
        <w:pStyle w:val="Heading1"/>
        <w:spacing w:after="80" w:before="280"/>
      </w:pPr>
      <w:r>
        <w:rPr>
          <w:rFonts w:ascii="Yu Gothic" w:cs="Yu Gothic" w:eastAsia="Yu Gothic" w:hAnsi="Yu Gothic"/>
          <w:b/>
          <w:bCs/>
        </w:rPr>
        <w:t xml:space="preserve">3. 改善ロードマップ</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時期</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テーマ</w:t>
            </w:r>
          </w:p>
        </w:tc>
        <w:tc>
          <w:tcPr>
            <w:tcW w:type="pct" w:w="4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主なアクション</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マイルストーン</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フェーズ1(N-2期 上期)</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重要会計論点の方針確定と体制の骨格整備</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・収益認識方針書の策定(契約類型別の認識タイミング判別)
・KPI定義書の整備と会計数値との突合プロセス構築
・ストックオプションの棚卸し・公正価値評価・適法性確認
・関連当事者の範囲確定と取引一覧の作成
・本番環境アクセス権の最小化・職務分掌の見直し着手
・労務実態(未払残業・勤怠管理)の点検</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主要会計方針(収益認識・SO)のドラフト確定、監査法人ショートレビュー対応</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フェーズ2(N-2期 下期)</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複合契約・見積り・内部統制の構築</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・複合契約のSSP配分ルールと変動対価・返金引当の整備
・ソフトウェア開発費の資産化/費用化基準の規程化
・収益計上・請求・返金の業務処理統制の文書化と検証
・IT全般統制(変更管理・権限レビュー)の運用開始
・セキュリティ監視・監査ログ管理規程の整備
・決算スケジュール・チェックリストの整備と決算早期化着手</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内部統制(IT全般統制・業務処理統制)の整備完了、監査初年度対応</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フェーズ3(N-1期)</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運用検証とガバナンス・開示体制の確立</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・整備した収益認識・統制の運用検証と是正
・ガバナンス体制(社外役員・内部監査)の確立と運用
・関連当事者取引の解消・整理の完了
・KPI・記述情報を含む開示書類作成体制の確立
・決算早期化(45日開示)の達成と四半期開示の試行
・労務是正措置の完了と引当の確定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内部統制運用1年の実績確保、申請期に向けた開示・審査対応準備完了</w:t>
            </w:r>
          </w:p>
        </w:tc>
      </w:tr>
      <w:tr>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フェーズ4(申請期)</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本番運用と上場申請</w:t>
            </w:r>
          </w:p>
        </w:tc>
        <w:tc>
          <w:tcPr>
            <w:tcW w:type="pct" w:w="40%"/>
            <w:tcMar>
              <w:top w:type="dxa" w:w="30"/>
              <w:left w:type="dxa" w:w="60"/>
              <w:bottom w:type="dxa" w:w="30"/>
              <w:right w:type="dxa" w:w="60"/>
            </w:tcMar>
          </w:tcPr>
          <w:p>
            <w:r>
              <w:rPr>
                <w:rFonts w:ascii="Yu Gothic" w:cs="Yu Gothic" w:eastAsia="Yu Gothic" w:hAnsi="Yu Gothic"/>
                <w:b w:val="false"/>
                <w:bCs w:val="false"/>
                <w:sz w:val="15"/>
                <w:szCs w:val="15"/>
              </w:rPr>
              <w:t xml:space="preserve">・内部統制報告制度(J-SOX)の本番運用
・開示書類(有報・成長可能性資料)の最終化
・主幹事・取引所審査対応
・継続的な決算開示の安定運用</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上場申請・承認</w:t>
            </w:r>
          </w:p>
        </w:tc>
      </w:tr>
    </w:tbl>
    <w:p>
      <w:pPr>
        <w:pStyle w:val="Heading1"/>
        <w:spacing w:after="80" w:before="280"/>
      </w:pPr>
      <w:r>
        <w:rPr>
          <w:rFonts w:ascii="Yu Gothic" w:cs="Yu Gothic" w:eastAsia="Yu Gothic" w:hAnsi="Yu Gothic"/>
          <w:b/>
          <w:bCs/>
        </w:rPr>
        <w:t xml:space="preserve">4. 総合所見</w:t>
      </w:r>
    </w:p>
    <w:p>
      <w:pPr>
        <w:spacing w:after="60"/>
      </w:pPr>
      <w:r>
        <w:rPr>
          <w:rFonts w:ascii="Yu Gothic" w:cs="Yu Gothic" w:eastAsia="Yu Gothic" w:hAnsi="Yu Gothic"/>
          <w:b w:val="false"/>
          <w:bCs w:val="false"/>
          <w:sz w:val="20"/>
          <w:szCs w:val="20"/>
        </w:rPr>
        <w:t xml:space="preserve">当社はSaaSビジネスとして成長性KPIを軸とするグロース市場上場を目指しており、収益認識(SaaS/複合契約/変動対価)、KPI開示の信頼性、ストックオプションの会計・適法性、関連当事者取引が最重要(severity高)の論点である。加えて本番環境アクセス・変更管理を中心としたIT全般統制の脆弱性は、収益計上の正確性に直結するため早急な是正が必要。N-2期上期に主要会計方針とKPI定義・SO・関連当事者を固め、下期に内部統制と複合契約・見積りを構築、N-1期に運用検証とガバナンス・開示体制を確立する段階的アプローチが現実的である。本書は会計士による正式レビュー前のドラフトであり、今後の詳細検証(契約サンプル査閲・規程精査)により評価および優先度が変動しうる点に留意されたい。</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t xml:space="preserve"/>
    </w: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サンプルSaaS株式会社 ショートレビュー</dc:title>
  <dc:creator>BENTO — 会計士 × AI</dc:creator>
  <cp:lastModifiedBy>Un-named</cp:lastModifiedBy>
  <cp:revision>1</cp:revision>
  <dcterms:created xsi:type="dcterms:W3CDTF">2026-07-03T07:33:44.496Z</dcterms:created>
  <dcterms:modified xsi:type="dcterms:W3CDTF">2026-07-03T07:33:44.496Z</dcterms:modified>
</cp:coreProperties>
</file>

<file path=docProps/custom.xml><?xml version="1.0" encoding="utf-8"?>
<Properties xmlns="http://schemas.openxmlformats.org/officeDocument/2006/custom-properties" xmlns:vt="http://schemas.openxmlformats.org/officeDocument/2006/docPropsVTypes"/>
</file>