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80"/>
      </w:pPr>
      <w:r>
        <w:rPr>
          <w:rFonts w:ascii="Yu Gothic" w:cs="Yu Gothic" w:eastAsia="Yu Gothic" w:hAnsi="Yu Gothic"/>
          <w:b/>
          <w:bCs/>
          <w:color w:val="C0392B"/>
          <w:sz w:val="20"/>
          <w:szCs w:val="20"/>
        </w:rPr>
        <w:t xml:space="preserve">IPO READINESS ／ SHORT REVIEW（予備調査）</w:t>
      </w:r>
    </w:p>
    <w:p>
      <w:pPr>
        <w:spacing w:after="40"/>
      </w:pPr>
      <w:r>
        <w:rPr>
          <w:rFonts w:ascii="Yu Gothic" w:cs="Yu Gothic" w:eastAsia="Yu Gothic" w:hAnsi="Yu Gothic"/>
          <w:b/>
          <w:bCs/>
          <w:color w:val="24406B"/>
          <w:sz w:val="40"/>
          <w:szCs w:val="40"/>
        </w:rPr>
        <w:t xml:space="preserve">サンプル暗号資産交換株式会社</w:t>
      </w:r>
    </w:p>
    <w:p>
      <w:pPr>
        <w:spacing w:after="160"/>
      </w:pPr>
      <w:r>
        <w:rPr>
          <w:rFonts w:ascii="Yu Gothic" w:cs="Yu Gothic" w:eastAsia="Yu Gothic" w:hAnsi="Yu Gothic"/>
          <w:sz w:val="22"/>
          <w:szCs w:val="22"/>
        </w:rPr>
        <w:t xml:space="preserve">ショートレビュー（予備調査報告）　／　N-2（2026年3月期・東証グロース市場上場を目標）</w:t>
      </w:r>
    </w:p>
    <w:p>
      <w:pPr>
        <w:pBdr>
          <w:left w:val="single" w:color="24406B" w:sz="18" w:space="8"/>
        </w:pBdr>
        <w:shd w:fill="F3F4F6" w:color="auto" w:val="clear"/>
        <w:spacing w:after="160" w:before="60"/>
      </w:pPr>
      <w:r>
        <w:rPr>
          <w:rFonts w:ascii="Yu Gothic" w:cs="Yu Gothic" w:eastAsia="Yu Gothic" w:hAnsi="Yu Gothic"/>
          <w:color w:val="444444"/>
          <w:sz w:val="16"/>
          <w:szCs w:val="16"/>
        </w:rPr>
        <w:t xml:space="preserve">本報告書はAIが生成したドラフトであり、公認会計士等の専門家によるレビュー・承認を前提とする参考資料である。数値・会社名はサンプルであり、実在の企業・取引を表しません。</w:t>
      </w:r>
    </w:p>
    <w:tbl>
      <w:tblPr>
        <w:tblW w:type="pct" w:w="100%"/>
        <w:tblBorders>
          <w:top w:val="single" w:color="D5DAE2" w:sz="3"/>
          <w:left w:val="single" w:color="D5DAE2" w:sz="3"/>
          <w:bottom w:val="single" w:color="D5DAE2" w:sz="3"/>
          <w:right w:val="single" w:color="D5DAE2" w:sz="3"/>
          <w:insideH w:val="single" w:color="D5DAE2" w:sz="3"/>
          <w:insideV w:val="single" w:color="D5DAE2" w:sz="3"/>
        </w:tblBorders>
      </w:tblPr>
      <w:tblGrid>
        <w:gridCol w:w="100"/>
        <w:gridCol w:w="100"/>
        <w:gridCol w:w="100"/>
        <w:gridCol w:w="100"/>
      </w:tblGrid>
      <w:tr>
        <w:tc>
          <w:tcPr>
            <w:tcW w:type="pct" w:w="18%"/>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作成者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c>
          <w:tcPr>
            <w:tcW w:type="pct" w:w="18%"/>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査閲者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r>
    </w:tbl>
    <w:p>
      <w:r>
        <w:br w:type="page"/>
      </w:r>
    </w:p>
    <w:p>
      <w:pPr>
        <w:pStyle w:val="Heading1"/>
        <w:spacing w:after="80" w:before="280"/>
      </w:pPr>
      <w:r>
        <w:rPr>
          <w:rFonts w:ascii="Yu Gothic" w:cs="Yu Gothic" w:eastAsia="Yu Gothic" w:hAnsi="Yu Gothic"/>
          <w:b/>
          <w:bCs/>
          <w:color w:val="24406B"/>
        </w:rPr>
        <w:t xml:space="preserve">1. 診断の概要</w:t>
      </w:r>
    </w:p>
    <w:tbl>
      <w:tblPr>
        <w:tblW w:type="pct" w:w="100%"/>
        <w:tblBorders>
          <w:top w:val="single" w:color="D5DAE2" w:sz="3"/>
          <w:left w:val="single" w:color="D5DAE2" w:sz="3"/>
          <w:bottom w:val="single" w:color="D5DAE2" w:sz="3"/>
          <w:right w:val="single" w:color="D5DAE2" w:sz="3"/>
          <w:insideH w:val="single" w:color="D5DAE2" w:sz="3"/>
          <w:insideV w:val="single" w:color="D5DAE2" w:sz="3"/>
        </w:tblBorders>
      </w:tblPr>
      <w:tblGrid>
        <w:gridCol w:w="100"/>
        <w:gridCol w:w="100"/>
      </w:tblGrid>
      <w:tr>
        <w:tc>
          <w:tcPr>
            <w:tcW w:type="pct" w:w="22%"/>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目的</w:t>
            </w:r>
          </w:p>
        </w:tc>
        <w:tc>
          <w:tcPr>
            <w:tcW w:type="pct" w:w="78%"/>
            <w:tcMar>
              <w:top w:type="dxa" w:w="30"/>
              <w:left w:type="dxa" w:w="60"/>
              <w:bottom w:type="dxa" w:w="30"/>
              <w:right w:type="dxa" w:w="60"/>
            </w:tcMar>
          </w:tcPr>
          <w:p>
            <w:r>
              <w:rPr>
                <w:rFonts w:ascii="Yu Gothic" w:cs="Yu Gothic" w:eastAsia="Yu Gothic" w:hAnsi="Yu Gothic"/>
                <w:b w:val="false"/>
                <w:bCs w:val="false"/>
                <w:sz w:val="15"/>
                <w:szCs w:val="15"/>
              </w:rPr>
              <w:t xml:space="preserve">資金決済法登録の暗号資産交換業者としてグロース市場上場（N-2着手）に向け、監査法人の監査受嘱と上場審査に耐える体制整備の課題を可視化する。特に本業種で審査の実効性が問われる『利用者財産の分別管理内部統制と分別管理監査・J-SOXの役割分担』『自己保有暗号資産の期末評価（実務対応報告第38号）』『ウォレット統制（95%以上コールド・履行保証暗号資産）とKYC/AML・トラベルルール』『2027年度見込の金商法移管対応』、およびIPO審査で致命傷となる『関連当事者取引（海外子会社・役員借入）』『事業計画の実現可能性（暗号資産価格変動への感応度）』『未払残業/社保等の簿外債務』を重点評価する。</w:t>
            </w:r>
          </w:p>
        </w:tc>
      </w:tr>
      <w:tr>
        <w:tc>
          <w:tcPr>
            <w:tcW w:type="pct" w:w="22%"/>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診断範囲</w:t>
            </w:r>
          </w:p>
        </w:tc>
        <w:tc>
          <w:tcPr>
            <w:tcW w:type="pct" w:w="78%"/>
            <w:tcMar>
              <w:top w:type="dxa" w:w="30"/>
              <w:left w:type="dxa" w:w="60"/>
              <w:bottom w:type="dxa" w:w="30"/>
              <w:right w:type="dxa" w:w="60"/>
            </w:tcMar>
          </w:tcPr>
          <w:p>
            <w:r>
              <w:rPr>
                <w:rFonts w:ascii="Yu Gothic" w:cs="Yu Gothic" w:eastAsia="Yu Gothic" w:hAnsi="Yu Gothic"/>
                <w:b w:val="false"/>
                <w:bCs w:val="false"/>
                <w:sz w:val="15"/>
                <w:szCs w:val="15"/>
              </w:rPr>
              <w:t xml:space="preserve">会計方針/会計基準、決算・開示体制、内部統制（J-SOX）、コーポレートガバナンス・機関設計、関連当事者・特別利害関係者取引、資本政策・株式関係、労務・人事、法務・許認可・コンプライアンス、予算・業績管理・事業計画、関係会社・グループ管理、暗号資産交換業固有（分別管理・期末評価・ウォレット統制）。海外子会社を含む連結ベース。</w:t>
            </w:r>
          </w:p>
        </w:tc>
      </w:tr>
      <w:tr>
        <w:tc>
          <w:tcPr>
            <w:tcW w:type="pct" w:w="22%"/>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上場予定時期</w:t>
            </w:r>
          </w:p>
        </w:tc>
        <w:tc>
          <w:tcPr>
            <w:tcW w:type="pct" w:w="78%"/>
            <w:tcMar>
              <w:top w:type="dxa" w:w="30"/>
              <w:left w:type="dxa" w:w="60"/>
              <w:bottom w:type="dxa" w:w="30"/>
              <w:right w:type="dxa" w:w="60"/>
            </w:tcMar>
          </w:tcPr>
          <w:p>
            <w:r>
              <w:rPr>
                <w:rFonts w:ascii="Yu Gothic" w:cs="Yu Gothic" w:eastAsia="Yu Gothic" w:hAnsi="Yu Gothic"/>
                <w:b w:val="false"/>
                <w:bCs w:val="false"/>
                <w:sz w:val="15"/>
                <w:szCs w:val="15"/>
              </w:rPr>
              <w:t xml:space="preserve">N-2で内部統制3点セット整備・四半期決算短信を前提とした四半期締めトライアル・監査役会設置会社としての機関設計確定・予実管理運用を目標。監査契約・主幹事証券・株式事務代行機関の確保はN-2で完了（暗号資産交換業は監査法人の受嘱審査が厳格で監査難民リスクが特に高い）。監査証明を要するのはN-2期・N-1期の直前2期間である点に留意。</w:t>
            </w:r>
          </w:p>
        </w:tc>
      </w:tr>
      <w:tr>
        <w:tc>
          <w:tcPr>
            <w:tcW w:type="pct" w:w="22%"/>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進め方</w:t>
            </w:r>
          </w:p>
        </w:tc>
        <w:tc>
          <w:tcPr>
            <w:tcW w:type="pct" w:w="78%"/>
            <w:tcMar>
              <w:top w:type="dxa" w:w="30"/>
              <w:left w:type="dxa" w:w="60"/>
              <w:bottom w:type="dxa" w:w="30"/>
              <w:right w:type="dxa" w:w="60"/>
            </w:tcMar>
          </w:tcPr>
          <w:p>
            <w:r>
              <w:rPr>
                <w:rFonts w:ascii="Yu Gothic" w:cs="Yu Gothic" w:eastAsia="Yu Gothic" w:hAnsi="Yu Gothic"/>
                <w:b w:val="false"/>
                <w:bCs w:val="false"/>
                <w:sz w:val="15"/>
                <w:szCs w:val="15"/>
              </w:rPr>
              <w:t xml:space="preserve">知識マスタの必須レビュー領域を各1件以上網羅的に診断。current（現状）→issue（課題）→standard（根拠）→recommendation（改善提案）→timing（時期）の流れで実務可動性を確保し、重要度（高/中/低）別に整理して改善ロードマップへ接続。暗号資産交換業固有の規制対応（資金決済法・犯罪収益移転防止法・実務対応報告第38号）とJ-SOXの整合を軸に評価する。会計士レビュー前提のドラフト。</w:t>
            </w:r>
          </w:p>
        </w:tc>
      </w:tr>
      <w:tr>
        <w:tc>
          <w:tcPr>
            <w:tcW w:type="pct" w:w="22%"/>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体制</w:t>
            </w:r>
          </w:p>
        </w:tc>
        <w:tc>
          <w:tcPr>
            <w:tcW w:type="pct" w:w="78%"/>
            <w:tcMar>
              <w:top w:type="dxa" w:w="30"/>
              <w:left w:type="dxa" w:w="60"/>
              <w:bottom w:type="dxa" w:w="30"/>
              <w:right w:type="dxa" w:w="60"/>
            </w:tcMar>
          </w:tcPr>
          <w:p>
            <w:r>
              <w:rPr>
                <w:rFonts w:ascii="Yu Gothic" w:cs="Yu Gothic" w:eastAsia="Yu Gothic" w:hAnsi="Yu Gothic"/>
                <w:b w:val="false"/>
                <w:bCs w:val="false"/>
                <w:sz w:val="15"/>
                <w:szCs w:val="15"/>
              </w:rPr>
              <w:t xml:space="preserve">公認会計士によるショートレビューチーム（会計・内部統制・暗号資産交換業規制担当）。監査法人予備調査受診前提。</w:t>
            </w:r>
          </w:p>
        </w:tc>
      </w:tr>
    </w:tbl>
    <w:p>
      <w:pPr>
        <w:pStyle w:val="Heading1"/>
        <w:spacing w:after="80" w:before="280"/>
      </w:pPr>
      <w:r>
        <w:rPr>
          <w:rFonts w:ascii="Yu Gothic" w:cs="Yu Gothic" w:eastAsia="Yu Gothic" w:hAnsi="Yu Gothic"/>
          <w:b/>
          <w:bCs/>
          <w:color w:val="24406B"/>
        </w:rPr>
        <w:t xml:space="preserve">2. 課題一覧</w:t>
      </w:r>
    </w:p>
    <w:tbl>
      <w:tblPr>
        <w:tblW w:type="pct" w:w="100%"/>
        <w:tblBorders>
          <w:top w:val="single" w:color="D5DAE2" w:sz="3"/>
          <w:left w:val="single" w:color="D5DAE2" w:sz="3"/>
          <w:bottom w:val="single" w:color="D5DAE2" w:sz="3"/>
          <w:right w:val="single" w:color="D5DAE2" w:sz="3"/>
          <w:insideH w:val="single" w:color="D5DAE2" w:sz="3"/>
          <w:insideV w:val="single" w:color="D5DAE2" w:sz="3"/>
        </w:tblBorders>
      </w:tblPr>
      <w:tblGrid>
        <w:gridCol w:w="100"/>
        <w:gridCol w:w="100"/>
        <w:gridCol w:w="100"/>
        <w:gridCol w:w="100"/>
        <w:gridCol w:w="100"/>
      </w:tblGrid>
      <w:tr>
        <w:trPr>
          <w:tblHeader/>
        </w:trPr>
        <w:tc>
          <w:tcPr>
            <w:tcW w:type="pct" w:w="8%"/>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ID</w:t>
            </w:r>
          </w:p>
        </w:tc>
        <w:tc>
          <w:tcPr>
            <w:tcW w:type="pct" w:w="18%"/>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領域</w:t>
            </w:r>
          </w:p>
        </w:tc>
        <w:tc>
          <w:tcPr>
            <w:tcW w:type="pct" w:w="40%"/>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課題</w:t>
            </w:r>
          </w:p>
        </w:tc>
        <w:tc>
          <w:tcPr>
            <w:tcW w:type="pct" w:w="10%"/>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阻害度</w:t>
            </w:r>
          </w:p>
        </w:tc>
        <w:tc>
          <w:tcPr>
            <w:tcW w:type="pct" w:w="24%"/>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着手時期</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F-01</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会計方針・会計基準</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収益認識（取次・媒介手数料／スプレッド／マイニング報酬／送金手数料）の会計方針整理</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N-2上期に会計方針確定、直前2期間の監査対応数値を整備</w:t>
            </w:r>
          </w:p>
        </w:tc>
      </w:tr>
      <w:tr>
        <w:tc>
          <w:tcPr>
            <w:tcW w:type="pct" w:w="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F-02</w:t>
            </w:r>
          </w:p>
        </w:tc>
        <w:tc>
          <w:tcPr>
            <w:tcW w:type="pct" w:w="1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会計方針・会計基準</w:t>
            </w:r>
          </w:p>
        </w:tc>
        <w:tc>
          <w:tcPr>
            <w:tcW w:type="pct" w:w="4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減損・税効果・退職給付・金融商品・リース新基準の準拠と会計上の見積りの合理性</w:t>
            </w:r>
          </w:p>
        </w:tc>
        <w:tc>
          <w:tcPr>
            <w:tcW w:type="pct" w:w="1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24%"/>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N-2中に方針確定・影響試算、N-1で数値確定</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F-03</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決算・開示体制</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連結決算早期化と四半期決算短信を前提とした四半期締めトライアル（海外子会社がボトルネック）</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N-2で四半期締めトライアル、N-1で開示リハーサル</w:t>
            </w:r>
          </w:p>
        </w:tc>
      </w:tr>
      <w:tr>
        <w:tc>
          <w:tcPr>
            <w:tcW w:type="pct" w:w="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F-04</w:t>
            </w:r>
          </w:p>
        </w:tc>
        <w:tc>
          <w:tcPr>
            <w:tcW w:type="pct" w:w="1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決算・開示体制</w:t>
            </w:r>
          </w:p>
        </w:tc>
        <w:tc>
          <w:tcPr>
            <w:tcW w:type="pct" w:w="4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外部体制（監査法人・主幹事・株式事務代行）の確保（監査難民リスクが特に高い業種）</w:t>
            </w:r>
          </w:p>
        </w:tc>
        <w:tc>
          <w:tcPr>
            <w:tcW w:type="pct" w:w="1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最遅でもN-2上期に監査契約・主幹事確保</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F-05</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内部統制</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J-SOX 3点セット整備とITGC（取引・分別管理・ウォレットがシステム依存の業種特性）</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N-2で3点セット整備、N-1で運用評価（1年分証跡）</w:t>
            </w:r>
          </w:p>
        </w:tc>
      </w:tr>
      <w:tr>
        <w:tc>
          <w:tcPr>
            <w:tcW w:type="pct" w:w="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F-06</w:t>
            </w:r>
          </w:p>
        </w:tc>
        <w:tc>
          <w:tcPr>
            <w:tcW w:type="pct" w:w="1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コーポレートガバナンス・機関設計</w:t>
            </w:r>
          </w:p>
        </w:tc>
        <w:tc>
          <w:tcPr>
            <w:tcW w:type="pct" w:w="4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監査役会設置会社の機関設計確定と社外・独立役員確保、三様監査の連携</w:t>
            </w:r>
          </w:p>
        </w:tc>
        <w:tc>
          <w:tcPr>
            <w:tcW w:type="pct" w:w="1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N-2で機関設計確定・社外役員確保・内部監査実効運用</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F-07</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関連当事者・特別利害関係者取引</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海外子会社との取引・役員借入・債務保証の網羅的把握と解消（審査最重要論点）</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N-2で洗い出し・条件是正・解消着手、N-1で解消完了確認</w:t>
            </w:r>
          </w:p>
        </w:tc>
      </w:tr>
      <w:tr>
        <w:tc>
          <w:tcPr>
            <w:tcW w:type="pct" w:w="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F-08</w:t>
            </w:r>
          </w:p>
        </w:tc>
        <w:tc>
          <w:tcPr>
            <w:tcW w:type="pct" w:w="1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資本政策・株式関係</w:t>
            </w:r>
          </w:p>
        </w:tc>
        <w:tc>
          <w:tcPr>
            <w:tcW w:type="pct" w:w="4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資本構成・ストックオプション・株式移動の適正化（不可逆論点の早期設計）</w:t>
            </w:r>
          </w:p>
        </w:tc>
        <w:tc>
          <w:tcPr>
            <w:tcW w:type="pct" w:w="1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24%"/>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N-2上期に全体設計、N-2までにSO付与・株式移動を完了</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F-09</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労務・人事</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未払残業代・社会保険・36協定等の労務コンプライアンス（従業員約120名の簿外債務リスク）</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N-2までに遡及試算・是正・引当計上を完了</w:t>
            </w:r>
          </w:p>
        </w:tc>
      </w:tr>
      <w:tr>
        <w:tc>
          <w:tcPr>
            <w:tcW w:type="pct" w:w="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F-10</w:t>
            </w:r>
          </w:p>
        </w:tc>
        <w:tc>
          <w:tcPr>
            <w:tcW w:type="pct" w:w="1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法務・許認可・コンプライアンス</w:t>
            </w:r>
          </w:p>
        </w:tc>
        <w:tc>
          <w:tcPr>
            <w:tcW w:type="pct" w:w="4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資金決済法登録の維持・重要契約点検・反社排除・内部通報</w:t>
            </w:r>
          </w:p>
        </w:tc>
        <w:tc>
          <w:tcPr>
            <w:tcW w:type="pct" w:w="1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24%"/>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N-2で許認可・契約・規程点検、反社・通報体制を運用</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F-11</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予算・業績管理・事業計画</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予実管理制度の整備と事業計画の合理性（暗号資産価格変動による計画未達リスク）</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N-2で予実管理を運用開始し予算精度を向上</w:t>
            </w:r>
          </w:p>
        </w:tc>
      </w:tr>
      <w:tr>
        <w:tc>
          <w:tcPr>
            <w:tcW w:type="pct" w:w="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F-12</w:t>
            </w:r>
          </w:p>
        </w:tc>
        <w:tc>
          <w:tcPr>
            <w:tcW w:type="pct" w:w="1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関係会社・グループ管理</w:t>
            </w:r>
          </w:p>
        </w:tc>
        <w:tc>
          <w:tcPr>
            <w:tcW w:type="pct" w:w="4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海外子会社を含む連結範囲・グループ管理・現地法令/贈収賄防止</w:t>
            </w:r>
          </w:p>
        </w:tc>
        <w:tc>
          <w:tcPr>
            <w:tcW w:type="pct" w:w="1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24%"/>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N-2でグループ再編・関係会社整理、連結決算体制構築</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F-13</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暗号資産交換業固有（分別管理・期末評価・ウォレット統制）</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利用者財産の分別管理内部統制（金銭の信託・暗号資産の同種同量・三層照合）と分別管理監査・J-SOXの役割分担</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N-2で分別管理統制の実効運用と証跡整備</w:t>
            </w:r>
          </w:p>
        </w:tc>
      </w:tr>
      <w:tr>
        <w:tc>
          <w:tcPr>
            <w:tcW w:type="pct" w:w="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F-14</w:t>
            </w:r>
          </w:p>
        </w:tc>
        <w:tc>
          <w:tcPr>
            <w:tcW w:type="pct" w:w="1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暗号資産交換業固有（分別管理・期末評価・ウォレット統制）</w:t>
            </w:r>
          </w:p>
        </w:tc>
        <w:tc>
          <w:tcPr>
            <w:tcW w:type="pct" w:w="4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自己保有暗号資産の期末評価・売却損益認識・種類別開示（実務対応報告第38号）</w:t>
            </w:r>
          </w:p>
        </w:tc>
        <w:tc>
          <w:tcPr>
            <w:tcW w:type="pct" w:w="1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N-2上期に会計方針確定・検証プロセス文書化</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F-15</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暗号資産交換業固有（分別管理・期末評価・ウォレット統制）</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ウォレット統制（95%以上コールド・履行保証暗号資産・秘密鍵/マルチシグ）・KYC/AML・トラベルルールおよび財産的基礎（金商法移管対応）</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N-2でウォレット統制・AML運用を確認、金商法移管準備を計画化</w:t>
            </w:r>
          </w:p>
        </w:tc>
      </w:tr>
    </w:tbl>
    <w:p>
      <w:pPr>
        <w:pStyle w:val="Heading2"/>
        <w:spacing w:after="80" w:before="280"/>
      </w:pPr>
      <w:r>
        <w:rPr>
          <w:rFonts w:ascii="Yu Gothic" w:cs="Yu Gothic" w:eastAsia="Yu Gothic" w:hAnsi="Yu Gothic"/>
          <w:b/>
          <w:bCs/>
          <w:color w:val="24406B"/>
        </w:rPr>
        <w:t xml:space="preserve">会計方針・会計基準</w:t>
      </w:r>
    </w:p>
    <w:p>
      <w:pPr>
        <w:pStyle w:val="Heading3"/>
        <w:spacing w:after="50" w:before="180"/>
      </w:pPr>
      <w:r>
        <w:rPr>
          <w:rFonts w:ascii="Yu Gothic" w:cs="Yu Gothic" w:eastAsia="Yu Gothic" w:hAnsi="Yu Gothic"/>
          <w:b/>
          <w:bCs/>
          <w:color w:val="24406B"/>
        </w:rPr>
        <w:t xml:space="preserve">F-01　[会計方針・会計基準] 収益認識（取次・媒介手数料／スプレッド／マイニング報酬／送金手数料）の会計方針整理</w:t>
      </w:r>
      <w:r>
        <w:rPr>
          <w:rFonts w:ascii="Yu Gothic" w:cs="Yu Gothic" w:eastAsia="Yu Gothic" w:hAnsi="Yu Gothic"/>
          <w:b/>
          <w:bCs/>
          <w:color w:val="9B2C1E"/>
        </w:rPr>
        <w:t xml:space="preserve">　【上場阻害度高】</w:t>
      </w:r>
      <w:r>
        <w:rPr>
          <w:rFonts w:ascii="Yu Gothic" w:cs="Yu Gothic" w:eastAsia="Yu Gothic" w:hAnsi="Yu Gothic"/>
          <w:color w:val="6B7280"/>
          <w:sz w:val="16"/>
          <w:szCs w:val="16"/>
        </w:rPr>
        <w:t xml:space="preserve">　着手 N-2上期に会計方針確定、直前2期間の監査対応数値を整備</w:t>
      </w:r>
    </w:p>
    <w:p>
      <w:pPr>
        <w:spacing w:after="60"/>
      </w:pPr>
      <w:r>
        <w:rPr>
          <w:rFonts w:ascii="Yu Gothic" w:cs="Yu Gothic" w:eastAsia="Yu Gothic" w:hAnsi="Yu Gothic"/>
          <w:b w:val="false"/>
          <w:bCs w:val="false"/>
          <w:sz w:val="18"/>
          <w:szCs w:val="18"/>
        </w:rPr>
        <w:t xml:space="preserve">現状：媒介・取次手数料は約定時点（取引所内マッチング完了時）で純額認識、マーケットメイク取引のスプレッドも同時点で認識。マイニング報酬・送金手数料は『実現可能性が高まった時点』で認識。税務・中小指針ベースの処理が一部残存し、本人/代理人や履行義務の判定過程の文書がない。</w:t>
      </w:r>
    </w:p>
    <w:p>
      <w:pPr>
        <w:spacing w:after="60"/>
      </w:pPr>
      <w:r>
        <w:rPr>
          <w:rFonts w:ascii="Yu Gothic" w:cs="Yu Gothic" w:eastAsia="Yu Gothic" w:hAnsi="Yu Gothic"/>
          <w:b w:val="false"/>
          <w:bCs w:val="false"/>
          <w:sz w:val="18"/>
          <w:szCs w:val="18"/>
        </w:rPr>
        <w:t xml:space="preserve">課題・阻害リスク：取引所内マッチングにおける本人か代理人かの判定（媒介は純額が原則だが判定根拠が未文書化）、履行義務の識別、取引手数料キャンペーン・VIP手数料割引等の変動対価の有無の検討過程が文書化されていない。マイニング報酬の認識時点が『実現可能性が高まった時点』と曖昧で、暗号資産で受領する報酬の測定（受領時公正価値）と会計方針が未確定。監査上の収益認識論点（カットオフ・網羅性）に耐えない。</w:t>
      </w:r>
    </w:p>
    <w:p>
      <w:pPr>
        <w:spacing w:after="60"/>
      </w:pPr>
      <w:r>
        <w:rPr>
          <w:rFonts w:ascii="Yu Gothic" w:cs="Yu Gothic" w:eastAsia="Yu Gothic" w:hAnsi="Yu Gothic"/>
          <w:b w:val="false"/>
          <w:bCs w:val="false"/>
          <w:sz w:val="18"/>
          <w:szCs w:val="18"/>
        </w:rPr>
        <w:t xml:space="preserve">あるべき姿：収益認識に関する会計基準（企業会計基準第29号）・同適用指針（企業会計基準適用指針第30号）</w:t>
      </w:r>
    </w:p>
    <w:p>
      <w:pPr>
        <w:spacing w:after="60"/>
      </w:pPr>
      <w:r>
        <w:rPr>
          <w:rFonts w:ascii="Yu Gothic" w:cs="Yu Gothic" w:eastAsia="Yu Gothic" w:hAnsi="Yu Gothic"/>
          <w:b w:val="false"/>
          <w:bCs w:val="false"/>
          <w:sz w:val="18"/>
          <w:szCs w:val="18"/>
        </w:rPr>
        <w:t xml:space="preserve">改善提案：取引類型別（取次・媒介手数料／スプレッド／マイニング報酬／送金手数料）に5ステップ判定書を作成し、本人代理人判定・履行義務・充足時点を明確化。手数料割引・キャンペーン等は変動対価として期待値法または最頻値法＋変動対価の見積りの制限で見積り、取引価格から控除して返金負債等で処理する方針を確定。取引システムの約定ログと会計計上のトレース手続を整備し監査対応可能な証跡を残す。</w:t>
      </w:r>
    </w:p>
    <w:p>
      <w:pPr>
        <w:spacing w:after="60"/>
      </w:pPr>
      <w:r>
        <w:rPr>
          <w:rFonts w:ascii="Yu Gothic" w:cs="Yu Gothic" w:eastAsia="Yu Gothic" w:hAnsi="Yu Gothic"/>
          <w:b w:val="false"/>
          <w:bCs w:val="false"/>
          <w:color w:val="6B7280"/>
          <w:sz w:val="16"/>
          <w:szCs w:val="16"/>
        </w:rPr>
        <w:t xml:space="preserve">所管：経理部・監査法人</w:t>
      </w:r>
    </w:p>
    <w:p>
      <w:pPr>
        <w:pStyle w:val="Heading3"/>
        <w:spacing w:after="50" w:before="180"/>
      </w:pPr>
      <w:r>
        <w:rPr>
          <w:rFonts w:ascii="Yu Gothic" w:cs="Yu Gothic" w:eastAsia="Yu Gothic" w:hAnsi="Yu Gothic"/>
          <w:b/>
          <w:bCs/>
          <w:color w:val="24406B"/>
        </w:rPr>
        <w:t xml:space="preserve">F-02　[会計方針・会計基準] 減損・税効果・退職給付・金融商品・リース新基準の準拠と会計上の見積りの合理性</w:t>
      </w:r>
      <w:r>
        <w:rPr>
          <w:rFonts w:ascii="Yu Gothic" w:cs="Yu Gothic" w:eastAsia="Yu Gothic" w:hAnsi="Yu Gothic"/>
          <w:b/>
          <w:bCs/>
          <w:color w:val="8A5A00"/>
        </w:rPr>
        <w:t xml:space="preserve">　【上場阻害度中】</w:t>
      </w:r>
      <w:r>
        <w:rPr>
          <w:rFonts w:ascii="Yu Gothic" w:cs="Yu Gothic" w:eastAsia="Yu Gothic" w:hAnsi="Yu Gothic"/>
          <w:color w:val="6B7280"/>
          <w:sz w:val="16"/>
          <w:szCs w:val="16"/>
        </w:rPr>
        <w:t xml:space="preserve">　着手 N-2中に方針確定・影響試算、N-1で数値確定</w:t>
      </w:r>
    </w:p>
    <w:p>
      <w:pPr>
        <w:spacing w:after="60"/>
      </w:pPr>
      <w:r>
        <w:rPr>
          <w:rFonts w:ascii="Yu Gothic" w:cs="Yu Gothic" w:eastAsia="Yu Gothic" w:hAnsi="Yu Gothic"/>
          <w:b w:val="false"/>
          <w:bCs w:val="false"/>
          <w:sz w:val="18"/>
          <w:szCs w:val="18"/>
        </w:rPr>
        <w:t xml:space="preserve">現状：自己保有暗号資産は時価評価対象として処理。固定資産の減損・税効果・退職給付等は税務基準に依存する部分が残り、見積りの根拠資料が体系化されていない。</w:t>
      </w:r>
    </w:p>
    <w:p>
      <w:pPr>
        <w:spacing w:after="60"/>
      </w:pPr>
      <w:r>
        <w:rPr>
          <w:rFonts w:ascii="Yu Gothic" w:cs="Yu Gothic" w:eastAsia="Yu Gothic" w:hAnsi="Yu Gothic"/>
          <w:b w:val="false"/>
          <w:bCs w:val="false"/>
          <w:sz w:val="18"/>
          <w:szCs w:val="18"/>
        </w:rPr>
        <w:t xml:space="preserve">課題・阻害リスク：暗号資産価格変動により自己保有暗号資産の評価が損益に大きく影響するため会計上の見積り（会計上の見積りの開示に関する会計基準）の合理性・継続性の裏付けが特に重要。退職給付・減損・税効果の適用要否の判定が未整理。リースに関する会計基準（企業会計基準第34号：2027年4月開始年度から強制適用、2025年4月開始年度から早期適用可）への対応方針が未決定。</w:t>
      </w:r>
    </w:p>
    <w:p>
      <w:pPr>
        <w:spacing w:after="60"/>
      </w:pPr>
      <w:r>
        <w:rPr>
          <w:rFonts w:ascii="Yu Gothic" w:cs="Yu Gothic" w:eastAsia="Yu Gothic" w:hAnsi="Yu Gothic"/>
          <w:b w:val="false"/>
          <w:bCs w:val="false"/>
          <w:sz w:val="18"/>
          <w:szCs w:val="18"/>
        </w:rPr>
        <w:t xml:space="preserve">あるべき姿：固定資産の減損に係る会計基準／退職給付に関する会計基準（企業会計基準第26号）／税効果会計に係る会計基準／会計上の見積りの開示に関する会計基準／リースに関する会計基準（企業会計基準第34号）</w:t>
      </w:r>
    </w:p>
    <w:p>
      <w:pPr>
        <w:spacing w:after="60"/>
      </w:pPr>
      <w:r>
        <w:rPr>
          <w:rFonts w:ascii="Yu Gothic" w:cs="Yu Gothic" w:eastAsia="Yu Gothic" w:hAnsi="Yu Gothic"/>
          <w:b w:val="false"/>
          <w:bCs w:val="false"/>
          <w:sz w:val="18"/>
          <w:szCs w:val="18"/>
        </w:rPr>
        <w:t xml:space="preserve">改善提案：各基準の適用要否を勘定科目別に棚卸表化し、見積りの根拠資料（回収可能性スケジュール等）と継続性を整備。リース新基準は強制適用時期（2027年4月開始年度）を明示のうえ、オフィス・データセンター/サーバ等の契約を棚卸して影響額を試算し、早期適用の是非を経営判断できる資料を用意。</w:t>
      </w:r>
    </w:p>
    <w:p>
      <w:pPr>
        <w:spacing w:after="60"/>
      </w:pPr>
      <w:r>
        <w:rPr>
          <w:rFonts w:ascii="Yu Gothic" w:cs="Yu Gothic" w:eastAsia="Yu Gothic" w:hAnsi="Yu Gothic"/>
          <w:b w:val="false"/>
          <w:bCs w:val="false"/>
          <w:color w:val="6B7280"/>
          <w:sz w:val="16"/>
          <w:szCs w:val="16"/>
        </w:rPr>
        <w:t xml:space="preserve">所管：経理部</w:t>
      </w:r>
    </w:p>
    <w:p>
      <w:pPr>
        <w:pStyle w:val="Heading2"/>
        <w:spacing w:after="80" w:before="280"/>
      </w:pPr>
      <w:r>
        <w:rPr>
          <w:rFonts w:ascii="Yu Gothic" w:cs="Yu Gothic" w:eastAsia="Yu Gothic" w:hAnsi="Yu Gothic"/>
          <w:b/>
          <w:bCs/>
          <w:color w:val="24406B"/>
        </w:rPr>
        <w:t xml:space="preserve">決算・開示体制</w:t>
      </w:r>
    </w:p>
    <w:p>
      <w:pPr>
        <w:pStyle w:val="Heading3"/>
        <w:spacing w:after="50" w:before="180"/>
      </w:pPr>
      <w:r>
        <w:rPr>
          <w:rFonts w:ascii="Yu Gothic" w:cs="Yu Gothic" w:eastAsia="Yu Gothic" w:hAnsi="Yu Gothic"/>
          <w:b/>
          <w:bCs/>
          <w:color w:val="24406B"/>
        </w:rPr>
        <w:t xml:space="preserve">F-03　[決算・開示体制] 連結決算早期化と四半期決算短信を前提とした四半期締めトライアル（海外子会社がボトルネック）</w:t>
      </w:r>
      <w:r>
        <w:rPr>
          <w:rFonts w:ascii="Yu Gothic" w:cs="Yu Gothic" w:eastAsia="Yu Gothic" w:hAnsi="Yu Gothic"/>
          <w:b/>
          <w:bCs/>
          <w:color w:val="9B2C1E"/>
        </w:rPr>
        <w:t xml:space="preserve">　【上場阻害度高】</w:t>
      </w:r>
      <w:r>
        <w:rPr>
          <w:rFonts w:ascii="Yu Gothic" w:cs="Yu Gothic" w:eastAsia="Yu Gothic" w:hAnsi="Yu Gothic"/>
          <w:color w:val="6B7280"/>
          <w:sz w:val="16"/>
          <w:szCs w:val="16"/>
        </w:rPr>
        <w:t xml:space="preserve">　着手 N-2で四半期締めトライアル、N-1で開示リハーサル</w:t>
      </w:r>
    </w:p>
    <w:p>
      <w:pPr>
        <w:spacing w:after="60"/>
      </w:pPr>
      <w:r>
        <w:rPr>
          <w:rFonts w:ascii="Yu Gothic" w:cs="Yu Gothic" w:eastAsia="Yu Gothic" w:hAnsi="Yu Gothic"/>
          <w:b w:val="false"/>
          <w:bCs w:val="false"/>
          <w:sz w:val="18"/>
          <w:szCs w:val="18"/>
        </w:rPr>
        <w:t xml:space="preserve">現状：月次決算は実施するが締めが遅く（翌月中旬以降）、海外子会社を含む連結・開示前提の早期化が未達。四半期締めのトライアル未実施。</w:t>
      </w:r>
    </w:p>
    <w:p>
      <w:pPr>
        <w:spacing w:after="60"/>
      </w:pPr>
      <w:r>
        <w:rPr>
          <w:rFonts w:ascii="Yu Gothic" w:cs="Yu Gothic" w:eastAsia="Yu Gothic" w:hAnsi="Yu Gothic"/>
          <w:b w:val="false"/>
          <w:bCs w:val="false"/>
          <w:sz w:val="18"/>
          <w:szCs w:val="18"/>
        </w:rPr>
        <w:t xml:space="preserve">課題・阻害リスク：四半期報告書は2024年4月に廃止されたが、四半期決算短信は取引所規則で継続義務。半期報告書（金商法）体系と混同せず四半期締めトライアルを工程に含める必要がある。海外子会社の決算締めが連結早期化のボトルネックとなりうる。開示書類（短信・計算書類・有報）作成体制と連結決算要員/スキルが不足。</w:t>
      </w:r>
    </w:p>
    <w:p>
      <w:pPr>
        <w:spacing w:after="60"/>
      </w:pPr>
      <w:r>
        <w:rPr>
          <w:rFonts w:ascii="Yu Gothic" w:cs="Yu Gothic" w:eastAsia="Yu Gothic" w:hAnsi="Yu Gothic"/>
          <w:b w:val="false"/>
          <w:bCs w:val="false"/>
          <w:sz w:val="18"/>
          <w:szCs w:val="18"/>
        </w:rPr>
        <w:t xml:space="preserve">あるべき姿：金融商品取引法（有価証券報告書・半期報告書）／東京証券取引所有価証券上場規程（四半期決算短信）／企業内容等の開示に関する内閣府令</w:t>
      </w:r>
    </w:p>
    <w:p>
      <w:pPr>
        <w:spacing w:after="60"/>
      </w:pPr>
      <w:r>
        <w:rPr>
          <w:rFonts w:ascii="Yu Gothic" w:cs="Yu Gothic" w:eastAsia="Yu Gothic" w:hAnsi="Yu Gothic"/>
          <w:b w:val="false"/>
          <w:bCs w:val="false"/>
          <w:sz w:val="18"/>
          <w:szCs w:val="18"/>
        </w:rPr>
        <w:t xml:space="preserve">改善提案：月次決算を翌月5営業日締めを目標に早期化し、海外子会社を含む連結パッケージと現地決算スケジュールを整備。N-2で四半期締めトライアルを1回以上実施し、短信様式でのドラフト作成まで通す。開示書類作成の役割分担表と要員計画を策定し経理・開示担当を増員。</w:t>
      </w:r>
    </w:p>
    <w:p>
      <w:pPr>
        <w:spacing w:after="60"/>
      </w:pPr>
      <w:r>
        <w:rPr>
          <w:rFonts w:ascii="Yu Gothic" w:cs="Yu Gothic" w:eastAsia="Yu Gothic" w:hAnsi="Yu Gothic"/>
          <w:b w:val="false"/>
          <w:bCs w:val="false"/>
          <w:color w:val="6B7280"/>
          <w:sz w:val="16"/>
          <w:szCs w:val="16"/>
        </w:rPr>
        <w:t xml:space="preserve">所管：経理部・経営企画</w:t>
      </w:r>
    </w:p>
    <w:p>
      <w:pPr>
        <w:pStyle w:val="Heading3"/>
        <w:spacing w:after="50" w:before="180"/>
      </w:pPr>
      <w:r>
        <w:rPr>
          <w:rFonts w:ascii="Yu Gothic" w:cs="Yu Gothic" w:eastAsia="Yu Gothic" w:hAnsi="Yu Gothic"/>
          <w:b/>
          <w:bCs/>
          <w:color w:val="24406B"/>
        </w:rPr>
        <w:t xml:space="preserve">F-04　[決算・開示体制] 外部体制（監査法人・主幹事・株式事務代行）の確保（監査難民リスクが特に高い業種）</w:t>
      </w:r>
      <w:r>
        <w:rPr>
          <w:rFonts w:ascii="Yu Gothic" w:cs="Yu Gothic" w:eastAsia="Yu Gothic" w:hAnsi="Yu Gothic"/>
          <w:b/>
          <w:bCs/>
          <w:color w:val="9B2C1E"/>
        </w:rPr>
        <w:t xml:space="preserve">　【上場阻害度高】</w:t>
      </w:r>
      <w:r>
        <w:rPr>
          <w:rFonts w:ascii="Yu Gothic" w:cs="Yu Gothic" w:eastAsia="Yu Gothic" w:hAnsi="Yu Gothic"/>
          <w:color w:val="6B7280"/>
          <w:sz w:val="16"/>
          <w:szCs w:val="16"/>
        </w:rPr>
        <w:t xml:space="preserve">　着手 最遅でもN-2上期に監査契約・主幹事確保</w:t>
      </w:r>
    </w:p>
    <w:p>
      <w:pPr>
        <w:spacing w:after="60"/>
      </w:pPr>
      <w:r>
        <w:rPr>
          <w:rFonts w:ascii="Yu Gothic" w:cs="Yu Gothic" w:eastAsia="Yu Gothic" w:hAnsi="Yu Gothic"/>
          <w:b w:val="false"/>
          <w:bCs w:val="false"/>
          <w:sz w:val="18"/>
          <w:szCs w:val="18"/>
        </w:rPr>
        <w:t xml:space="preserve">現状：監査法人の予備調査受診はこれから、主幹事証券・株式事務代行機関の選定状況が不明確。</w:t>
      </w:r>
    </w:p>
    <w:p>
      <w:pPr>
        <w:spacing w:after="60"/>
      </w:pPr>
      <w:r>
        <w:rPr>
          <w:rFonts w:ascii="Yu Gothic" w:cs="Yu Gothic" w:eastAsia="Yu Gothic" w:hAnsi="Yu Gothic"/>
          <w:b w:val="false"/>
          <w:bCs w:val="false"/>
          <w:sz w:val="18"/>
          <w:szCs w:val="18"/>
        </w:rPr>
        <w:t xml:space="preserve">課題・阻害リスク：上場申請ではN-2期・N-1期の直前2期間の監査証明が必要。暗号資産交換業は分別管理・ウォレット統制・期末時価評価等のリスク評価から監査法人の受嘱審査が特に厳格で受嘱余力も逼迫しており、確保が遅れると監査難民リスクで上場スケジュール全体が破綻する。</w:t>
      </w:r>
    </w:p>
    <w:p>
      <w:pPr>
        <w:spacing w:after="60"/>
      </w:pPr>
      <w:r>
        <w:rPr>
          <w:rFonts w:ascii="Yu Gothic" w:cs="Yu Gothic" w:eastAsia="Yu Gothic" w:hAnsi="Yu Gothic"/>
          <w:b w:val="false"/>
          <w:bCs w:val="false"/>
          <w:sz w:val="18"/>
          <w:szCs w:val="18"/>
        </w:rPr>
        <w:t xml:space="preserve">あるべき姿：金融商品取引法（監査証明）／公認会計士法</w:t>
      </w:r>
    </w:p>
    <w:p>
      <w:pPr>
        <w:spacing w:after="60"/>
      </w:pPr>
      <w:r>
        <w:rPr>
          <w:rFonts w:ascii="Yu Gothic" w:cs="Yu Gothic" w:eastAsia="Yu Gothic" w:hAnsi="Yu Gothic"/>
          <w:b w:val="false"/>
          <w:bCs w:val="false"/>
          <w:sz w:val="18"/>
          <w:szCs w:val="18"/>
        </w:rPr>
        <w:t xml:space="preserve">改善提案：N-2の早期（上期）に監査法人の予備調査を受診し監査契約を締結。並行して主幹事証券・株式事務代行機関を選定・契約。監査法人の受嘱審査に向け分別管理・ウォレット統制・実務対応報告第38号の評価方針の説明資料を先行整備する。</w:t>
      </w:r>
    </w:p>
    <w:p>
      <w:pPr>
        <w:spacing w:after="60"/>
      </w:pPr>
      <w:r>
        <w:rPr>
          <w:rFonts w:ascii="Yu Gothic" w:cs="Yu Gothic" w:eastAsia="Yu Gothic" w:hAnsi="Yu Gothic"/>
          <w:b w:val="false"/>
          <w:bCs w:val="false"/>
          <w:color w:val="6B7280"/>
          <w:sz w:val="16"/>
          <w:szCs w:val="16"/>
        </w:rPr>
        <w:t xml:space="preserve">所管：経営企画・CFO</w:t>
      </w:r>
    </w:p>
    <w:p>
      <w:pPr>
        <w:pStyle w:val="Heading2"/>
        <w:spacing w:after="80" w:before="280"/>
      </w:pPr>
      <w:r>
        <w:rPr>
          <w:rFonts w:ascii="Yu Gothic" w:cs="Yu Gothic" w:eastAsia="Yu Gothic" w:hAnsi="Yu Gothic"/>
          <w:b/>
          <w:bCs/>
          <w:color w:val="24406B"/>
        </w:rPr>
        <w:t xml:space="preserve">内部統制</w:t>
      </w:r>
    </w:p>
    <w:p>
      <w:pPr>
        <w:pStyle w:val="Heading3"/>
        <w:spacing w:after="50" w:before="180"/>
      </w:pPr>
      <w:r>
        <w:rPr>
          <w:rFonts w:ascii="Yu Gothic" w:cs="Yu Gothic" w:eastAsia="Yu Gothic" w:hAnsi="Yu Gothic"/>
          <w:b/>
          <w:bCs/>
          <w:color w:val="24406B"/>
        </w:rPr>
        <w:t xml:space="preserve">F-05　[内部統制] J-SOX 3点セット整備とITGC（取引・分別管理・ウォレットがシステム依存の業種特性）</w:t>
      </w:r>
      <w:r>
        <w:rPr>
          <w:rFonts w:ascii="Yu Gothic" w:cs="Yu Gothic" w:eastAsia="Yu Gothic" w:hAnsi="Yu Gothic"/>
          <w:b/>
          <w:bCs/>
          <w:color w:val="9B2C1E"/>
        </w:rPr>
        <w:t xml:space="preserve">　【上場阻害度高】</w:t>
      </w:r>
      <w:r>
        <w:rPr>
          <w:rFonts w:ascii="Yu Gothic" w:cs="Yu Gothic" w:eastAsia="Yu Gothic" w:hAnsi="Yu Gothic"/>
          <w:color w:val="6B7280"/>
          <w:sz w:val="16"/>
          <w:szCs w:val="16"/>
        </w:rPr>
        <w:t xml:space="preserve">　着手 N-2で3点セット整備、N-1で運用評価（1年分証跡）</w:t>
      </w:r>
    </w:p>
    <w:p>
      <w:pPr>
        <w:spacing w:after="60"/>
      </w:pPr>
      <w:r>
        <w:rPr>
          <w:rFonts w:ascii="Yu Gothic" w:cs="Yu Gothic" w:eastAsia="Yu Gothic" w:hAnsi="Yu Gothic"/>
          <w:b w:val="false"/>
          <w:bCs w:val="false"/>
          <w:sz w:val="18"/>
          <w:szCs w:val="18"/>
        </w:rPr>
        <w:t xml:space="preserve">現状：全社統制・業務プロセス統制・決算財務報告プロセス統制の文書（3点セット）が未整備。ITGC・職務分掌・アクセス権限管理が不十分。</w:t>
      </w:r>
    </w:p>
    <w:p>
      <w:pPr>
        <w:spacing w:after="60"/>
      </w:pPr>
      <w:r>
        <w:rPr>
          <w:rFonts w:ascii="Yu Gothic" w:cs="Yu Gothic" w:eastAsia="Yu Gothic" w:hAnsi="Yu Gothic"/>
          <w:b w:val="false"/>
          <w:bCs w:val="false"/>
          <w:sz w:val="18"/>
          <w:szCs w:val="18"/>
        </w:rPr>
        <w:t xml:space="preserve">課題・阻害リスク：上場後の内部統制報告制度に向け、評価範囲（重要な事業拠点・勘定科目）の設定と3点セット整備、運用証跡が必要。本社の取引約定・入出金・分別管理・ウォレット操作がシステム依存で、特権ID管理・変更管理・アクセス権限の職務分掌といったITGCとIT業務処理統制の重要性が特に高い。過去業界で発生した利用者資産流出事例を踏まえ、ウォレット操作に係る統制が焦点。</w:t>
      </w:r>
    </w:p>
    <w:p>
      <w:pPr>
        <w:spacing w:after="60"/>
      </w:pPr>
      <w:r>
        <w:rPr>
          <w:rFonts w:ascii="Yu Gothic" w:cs="Yu Gothic" w:eastAsia="Yu Gothic" w:hAnsi="Yu Gothic"/>
          <w:b w:val="false"/>
          <w:bCs w:val="false"/>
          <w:sz w:val="18"/>
          <w:szCs w:val="18"/>
        </w:rPr>
        <w:t xml:space="preserve">あるべき姿：財務計算に関する書類その他の情報の適正性を確保するための体制に関する内閣府令（内部統制府令）／財務報告に係る内部統制の評価及び監査に関する実施基準</w:t>
      </w:r>
    </w:p>
    <w:p>
      <w:pPr>
        <w:spacing w:after="60"/>
      </w:pPr>
      <w:r>
        <w:rPr>
          <w:rFonts w:ascii="Yu Gothic" w:cs="Yu Gothic" w:eastAsia="Yu Gothic" w:hAnsi="Yu Gothic"/>
          <w:b w:val="false"/>
          <w:bCs w:val="false"/>
          <w:sz w:val="18"/>
          <w:szCs w:val="18"/>
        </w:rPr>
        <w:t xml:space="preserve">改善提案：評価範囲を設定し全社統制・決算財務報告プロセス・重要業務プロセス（取引約定～入出金～分別管理～ウォレット操作）・ITGC/ITACの3点セットを整備。特権ID管理・秘密鍵操作権限の職務分掌・変更管理の証跡を整備。N-1で1年分の運用評価証跡を蓄積。</w:t>
      </w:r>
    </w:p>
    <w:p>
      <w:pPr>
        <w:spacing w:after="60"/>
      </w:pPr>
      <w:r>
        <w:rPr>
          <w:rFonts w:ascii="Yu Gothic" w:cs="Yu Gothic" w:eastAsia="Yu Gothic" w:hAnsi="Yu Gothic"/>
          <w:b w:val="false"/>
          <w:bCs w:val="false"/>
          <w:color w:val="6B7280"/>
          <w:sz w:val="16"/>
          <w:szCs w:val="16"/>
        </w:rPr>
        <w:t xml:space="preserve">所管：内部統制・情報システム部</w:t>
      </w:r>
    </w:p>
    <w:p>
      <w:pPr>
        <w:pStyle w:val="Heading2"/>
        <w:spacing w:after="80" w:before="280"/>
      </w:pPr>
      <w:r>
        <w:rPr>
          <w:rFonts w:ascii="Yu Gothic" w:cs="Yu Gothic" w:eastAsia="Yu Gothic" w:hAnsi="Yu Gothic"/>
          <w:b/>
          <w:bCs/>
          <w:color w:val="24406B"/>
        </w:rPr>
        <w:t xml:space="preserve">コーポレートガバナンス・機関設計</w:t>
      </w:r>
    </w:p>
    <w:p>
      <w:pPr>
        <w:pStyle w:val="Heading3"/>
        <w:spacing w:after="50" w:before="180"/>
      </w:pPr>
      <w:r>
        <w:rPr>
          <w:rFonts w:ascii="Yu Gothic" w:cs="Yu Gothic" w:eastAsia="Yu Gothic" w:hAnsi="Yu Gothic"/>
          <w:b/>
          <w:bCs/>
          <w:color w:val="24406B"/>
        </w:rPr>
        <w:t xml:space="preserve">F-06　[コーポレートガバナンス・機関設計] 監査役会設置会社の機関設計確定と社外・独立役員確保、三様監査の連携</w:t>
      </w:r>
      <w:r>
        <w:rPr>
          <w:rFonts w:ascii="Yu Gothic" w:cs="Yu Gothic" w:eastAsia="Yu Gothic" w:hAnsi="Yu Gothic"/>
          <w:b/>
          <w:bCs/>
          <w:color w:val="9B2C1E"/>
        </w:rPr>
        <w:t xml:space="preserve">　【上場阻害度高】</w:t>
      </w:r>
      <w:r>
        <w:rPr>
          <w:rFonts w:ascii="Yu Gothic" w:cs="Yu Gothic" w:eastAsia="Yu Gothic" w:hAnsi="Yu Gothic"/>
          <w:color w:val="6B7280"/>
          <w:sz w:val="16"/>
          <w:szCs w:val="16"/>
        </w:rPr>
        <w:t xml:space="preserve">　着手 N-2で機関設計確定・社外役員確保・内部監査実効運用</w:t>
      </w:r>
    </w:p>
    <w:p>
      <w:pPr>
        <w:spacing w:after="60"/>
      </w:pPr>
      <w:r>
        <w:rPr>
          <w:rFonts w:ascii="Yu Gothic" w:cs="Yu Gothic" w:eastAsia="Yu Gothic" w:hAnsi="Yu Gothic"/>
          <w:b w:val="false"/>
          <w:bCs w:val="false"/>
          <w:sz w:val="18"/>
          <w:szCs w:val="18"/>
        </w:rPr>
        <w:t xml:space="preserve">現状：機関設計は監査役会設置会社。社外役員・独立役員の確保状況、取締役会・監査役会の実効的運営、内部監査部門の整備が不十分。</w:t>
      </w:r>
    </w:p>
    <w:p>
      <w:pPr>
        <w:spacing w:after="60"/>
      </w:pPr>
      <w:r>
        <w:rPr>
          <w:rFonts w:ascii="Yu Gothic" w:cs="Yu Gothic" w:eastAsia="Yu Gothic" w:hAnsi="Yu Gothic"/>
          <w:b w:val="false"/>
          <w:bCs w:val="false"/>
          <w:sz w:val="18"/>
          <w:szCs w:val="18"/>
        </w:rPr>
        <w:t xml:space="preserve">課題・阻害リスク：監査役会設置会社として社外監査役・社外取締役および独立役員の確保、内部監査部門の設置と三様監査（監査役・内部監査・会計監査人）の連携、取締役会の議事・決裁の適切性、コーポレートガバナンス・コード対応（グロース市場は基本原則）が求められる。暗号資産交換業ではKYC/AML・分別管理を所管するコンプライアンス部門と内部監査の独立性確保が特に重要。</w:t>
      </w:r>
    </w:p>
    <w:p>
      <w:pPr>
        <w:spacing w:after="60"/>
      </w:pPr>
      <w:r>
        <w:rPr>
          <w:rFonts w:ascii="Yu Gothic" w:cs="Yu Gothic" w:eastAsia="Yu Gothic" w:hAnsi="Yu Gothic"/>
          <w:b w:val="false"/>
          <w:bCs w:val="false"/>
          <w:sz w:val="18"/>
          <w:szCs w:val="18"/>
        </w:rPr>
        <w:t xml:space="preserve">あるべき姿：会社法／東京証券取引所有価証券上場規程／コーポレートガバナンス・コード（グロース市場は基本原則対応）／グローバル内部監査基準（GIAS、2025年1月9日発効）</w:t>
      </w:r>
    </w:p>
    <w:p>
      <w:pPr>
        <w:spacing w:after="60"/>
      </w:pPr>
      <w:r>
        <w:rPr>
          <w:rFonts w:ascii="Yu Gothic" w:cs="Yu Gothic" w:eastAsia="Yu Gothic" w:hAnsi="Yu Gothic"/>
          <w:b w:val="false"/>
          <w:bCs w:val="false"/>
          <w:sz w:val="18"/>
          <w:szCs w:val="18"/>
        </w:rPr>
        <w:t xml:space="preserve">改善提案：社外取締役・独立役員（独立性基準充足）を選任し取締役会/監査役会を実効運営（年間開催計画・付議基準・議事録整備）。内部監査部門をコンプライアンス部門から独立して設置し監査計画・報告・フォローアップを運用、監査役・会計監査人との三様監査連携会議を定例化。内部監査規程・手続はグローバル内部監査基準（GIAS）を参照して整備。</w:t>
      </w:r>
    </w:p>
    <w:p>
      <w:pPr>
        <w:spacing w:after="60"/>
      </w:pPr>
      <w:r>
        <w:rPr>
          <w:rFonts w:ascii="Yu Gothic" w:cs="Yu Gothic" w:eastAsia="Yu Gothic" w:hAnsi="Yu Gothic"/>
          <w:b w:val="false"/>
          <w:bCs w:val="false"/>
          <w:color w:val="6B7280"/>
          <w:sz w:val="16"/>
          <w:szCs w:val="16"/>
        </w:rPr>
        <w:t xml:space="preserve">所管：経営陣・取締役会</w:t>
      </w:r>
    </w:p>
    <w:p>
      <w:pPr>
        <w:pStyle w:val="Heading2"/>
        <w:spacing w:after="80" w:before="280"/>
      </w:pPr>
      <w:r>
        <w:rPr>
          <w:rFonts w:ascii="Yu Gothic" w:cs="Yu Gothic" w:eastAsia="Yu Gothic" w:hAnsi="Yu Gothic"/>
          <w:b/>
          <w:bCs/>
          <w:color w:val="24406B"/>
        </w:rPr>
        <w:t xml:space="preserve">関連当事者・特別利害関係者取引</w:t>
      </w:r>
    </w:p>
    <w:p>
      <w:pPr>
        <w:pStyle w:val="Heading3"/>
        <w:spacing w:after="50" w:before="180"/>
      </w:pPr>
      <w:r>
        <w:rPr>
          <w:rFonts w:ascii="Yu Gothic" w:cs="Yu Gothic" w:eastAsia="Yu Gothic" w:hAnsi="Yu Gothic"/>
          <w:b/>
          <w:bCs/>
          <w:color w:val="24406B"/>
        </w:rPr>
        <w:t xml:space="preserve">F-07　[関連当事者・特別利害関係者取引] 海外子会社との取引・役員借入・債務保証の網羅的把握と解消（審査最重要論点）</w:t>
      </w:r>
      <w:r>
        <w:rPr>
          <w:rFonts w:ascii="Yu Gothic" w:cs="Yu Gothic" w:eastAsia="Yu Gothic" w:hAnsi="Yu Gothic"/>
          <w:b/>
          <w:bCs/>
          <w:color w:val="9B2C1E"/>
        </w:rPr>
        <w:t xml:space="preserve">　【上場阻害度高】</w:t>
      </w:r>
      <w:r>
        <w:rPr>
          <w:rFonts w:ascii="Yu Gothic" w:cs="Yu Gothic" w:eastAsia="Yu Gothic" w:hAnsi="Yu Gothic"/>
          <w:color w:val="6B7280"/>
          <w:sz w:val="16"/>
          <w:szCs w:val="16"/>
        </w:rPr>
        <w:t xml:space="preserve">　着手 N-2で洗い出し・条件是正・解消着手、N-1で解消完了確認</w:t>
      </w:r>
    </w:p>
    <w:p>
      <w:pPr>
        <w:spacing w:after="60"/>
      </w:pPr>
      <w:r>
        <w:rPr>
          <w:rFonts w:ascii="Yu Gothic" w:cs="Yu Gothic" w:eastAsia="Yu Gothic" w:hAnsi="Yu Gothic"/>
          <w:b w:val="false"/>
          <w:bCs w:val="false"/>
          <w:sz w:val="18"/>
          <w:szCs w:val="18"/>
        </w:rPr>
        <w:t xml:space="preserve">現状：海外子会社との取引、役員・主要株主等との借入・取引が存在する可能性。網羅的把握と条件妥当性の検証が未了で、資金貸借・債務保証の解消計画が未策定。</w:t>
      </w:r>
    </w:p>
    <w:p>
      <w:pPr>
        <w:spacing w:after="60"/>
      </w:pPr>
      <w:r>
        <w:rPr>
          <w:rFonts w:ascii="Yu Gothic" w:cs="Yu Gothic" w:eastAsia="Yu Gothic" w:hAnsi="Yu Gothic"/>
          <w:b w:val="false"/>
          <w:bCs w:val="false"/>
          <w:sz w:val="18"/>
          <w:szCs w:val="18"/>
        </w:rPr>
        <w:t xml:space="preserve">課題・阻害リスク：IPO審査の最重要論点（実質審査基準の企業経営の健全性）。特定の者への不当な利益供与・享受がないこと、第三者間取引条件か、資金貸借・債務保証の解消が問われる。海外子会社との取引価格（移転価格を含む）・グループ内資金融通の妥当性、関連当事者情報（関連当事者の開示に関する会計基準）の開示網羅性が焦点。暗号資産のグループ間移転がある場合は移転価格・評価の裏付けも要検証。</w:t>
      </w:r>
    </w:p>
    <w:p>
      <w:pPr>
        <w:spacing w:after="60"/>
      </w:pPr>
      <w:r>
        <w:rPr>
          <w:rFonts w:ascii="Yu Gothic" w:cs="Yu Gothic" w:eastAsia="Yu Gothic" w:hAnsi="Yu Gothic"/>
          <w:b w:val="false"/>
          <w:bCs w:val="false"/>
          <w:sz w:val="18"/>
          <w:szCs w:val="18"/>
        </w:rPr>
        <w:t xml:space="preserve">あるべき姿：関連当事者の開示に関する会計基準（企業会計基準第11号）／東京証券取引所上場審査（企業経営の健全性）</w:t>
      </w:r>
    </w:p>
    <w:p>
      <w:pPr>
        <w:spacing w:after="60"/>
      </w:pPr>
      <w:r>
        <w:rPr>
          <w:rFonts w:ascii="Yu Gothic" w:cs="Yu Gothic" w:eastAsia="Yu Gothic" w:hAnsi="Yu Gothic"/>
          <w:b w:val="false"/>
          <w:bCs w:val="false"/>
          <w:sz w:val="18"/>
          <w:szCs w:val="18"/>
        </w:rPr>
        <w:t xml:space="preserve">改善提案：役員・主要株主・近親者・それらが支配する会社・海外子会社を対象に関連当事者リストを作成し、取引（暗号資産のグループ間移転を含む）を網羅的に洗い出す。取引条件の第三者間妥当性を検証し、不要取引・役員借入・債務保証は解消時期を明記した解消管理表で個別管理。継続する取引は取引条件根拠と取締役会承認プロセスを整備。海外子会社取引は移転価格の観点も点検。</w:t>
      </w:r>
    </w:p>
    <w:p>
      <w:pPr>
        <w:spacing w:after="60"/>
      </w:pPr>
      <w:r>
        <w:rPr>
          <w:rFonts w:ascii="Yu Gothic" w:cs="Yu Gothic" w:eastAsia="Yu Gothic" w:hAnsi="Yu Gothic"/>
          <w:b w:val="false"/>
          <w:bCs w:val="false"/>
          <w:color w:val="6B7280"/>
          <w:sz w:val="16"/>
          <w:szCs w:val="16"/>
        </w:rPr>
        <w:t xml:space="preserve">所管：経営企画・管理部</w:t>
      </w:r>
    </w:p>
    <w:p>
      <w:pPr>
        <w:pStyle w:val="Heading2"/>
        <w:spacing w:after="80" w:before="280"/>
      </w:pPr>
      <w:r>
        <w:rPr>
          <w:rFonts w:ascii="Yu Gothic" w:cs="Yu Gothic" w:eastAsia="Yu Gothic" w:hAnsi="Yu Gothic"/>
          <w:b/>
          <w:bCs/>
          <w:color w:val="24406B"/>
        </w:rPr>
        <w:t xml:space="preserve">資本政策・株式関係</w:t>
      </w:r>
    </w:p>
    <w:p>
      <w:pPr>
        <w:pStyle w:val="Heading3"/>
        <w:spacing w:after="50" w:before="180"/>
      </w:pPr>
      <w:r>
        <w:rPr>
          <w:rFonts w:ascii="Yu Gothic" w:cs="Yu Gothic" w:eastAsia="Yu Gothic" w:hAnsi="Yu Gothic"/>
          <w:b/>
          <w:bCs/>
          <w:color w:val="24406B"/>
        </w:rPr>
        <w:t xml:space="preserve">F-08　[資本政策・株式関係] 資本構成・ストックオプション・株式移動の適正化（不可逆論点の早期設計）</w:t>
      </w:r>
      <w:r>
        <w:rPr>
          <w:rFonts w:ascii="Yu Gothic" w:cs="Yu Gothic" w:eastAsia="Yu Gothic" w:hAnsi="Yu Gothic"/>
          <w:b/>
          <w:bCs/>
          <w:color w:val="8A5A00"/>
        </w:rPr>
        <w:t xml:space="preserve">　【上場阻害度中】</w:t>
      </w:r>
      <w:r>
        <w:rPr>
          <w:rFonts w:ascii="Yu Gothic" w:cs="Yu Gothic" w:eastAsia="Yu Gothic" w:hAnsi="Yu Gothic"/>
          <w:color w:val="6B7280"/>
          <w:sz w:val="16"/>
          <w:szCs w:val="16"/>
        </w:rPr>
        <w:t xml:space="preserve">　着手 N-2上期に全体設計、N-2までにSO付与・株式移動を完了</w:t>
      </w:r>
    </w:p>
    <w:p>
      <w:pPr>
        <w:spacing w:after="60"/>
      </w:pPr>
      <w:r>
        <w:rPr>
          <w:rFonts w:ascii="Yu Gothic" w:cs="Yu Gothic" w:eastAsia="Yu Gothic" w:hAnsi="Yu Gothic"/>
          <w:b w:val="false"/>
          <w:bCs w:val="false"/>
          <w:sz w:val="18"/>
          <w:szCs w:val="18"/>
        </w:rPr>
        <w:t xml:space="preserve">現状：資本構成・安定株主比率、種類株式・属人的株式、名義株・所在不明株主、ストックオプション付与、株式移動の記録・価額の整理状況が不明確。</w:t>
      </w:r>
    </w:p>
    <w:p>
      <w:pPr>
        <w:spacing w:after="60"/>
      </w:pPr>
      <w:r>
        <w:rPr>
          <w:rFonts w:ascii="Yu Gothic" w:cs="Yu Gothic" w:eastAsia="Yu Gothic" w:hAnsi="Yu Gothic"/>
          <w:b w:val="false"/>
          <w:bCs w:val="false"/>
          <w:sz w:val="18"/>
          <w:szCs w:val="18"/>
        </w:rPr>
        <w:t xml:space="preserve">課題・阻害リスク：資本政策は不可逆のため早期の全体設計が必要。ストックオプションの税制適格要件充足、株式移動の適正な価額（純資産価額/DCF等の根拠）・記録、名義株・所在不明株主の解消、安定株主比率・希薄化設計が審査で問われる。</w:t>
      </w:r>
    </w:p>
    <w:p>
      <w:pPr>
        <w:spacing w:after="60"/>
      </w:pPr>
      <w:r>
        <w:rPr>
          <w:rFonts w:ascii="Yu Gothic" w:cs="Yu Gothic" w:eastAsia="Yu Gothic" w:hAnsi="Yu Gothic"/>
          <w:b w:val="false"/>
          <w:bCs w:val="false"/>
          <w:sz w:val="18"/>
          <w:szCs w:val="18"/>
        </w:rPr>
        <w:t xml:space="preserve">あるべき姿：会社法／租税特別措置法（税制適格ストックオプション）／金融商品取引法</w:t>
      </w:r>
    </w:p>
    <w:p>
      <w:pPr>
        <w:spacing w:after="60"/>
      </w:pPr>
      <w:r>
        <w:rPr>
          <w:rFonts w:ascii="Yu Gothic" w:cs="Yu Gothic" w:eastAsia="Yu Gothic" w:hAnsi="Yu Gothic"/>
          <w:b w:val="false"/>
          <w:bCs w:val="false"/>
          <w:sz w:val="18"/>
          <w:szCs w:val="18"/>
        </w:rPr>
        <w:t xml:space="preserve">改善提案：希薄化・持株比率・上場時の売出/公募を含む全体設計を早期確定（不可逆のため最優先）。税制適格要件を満たすSO設計、株式移動の価額根拠と記録を整備、名義株・所在不明株主を解消。種類株式・属人的株式は上場までに整理。</w:t>
      </w:r>
    </w:p>
    <w:p>
      <w:pPr>
        <w:spacing w:after="60"/>
      </w:pPr>
      <w:r>
        <w:rPr>
          <w:rFonts w:ascii="Yu Gothic" w:cs="Yu Gothic" w:eastAsia="Yu Gothic" w:hAnsi="Yu Gothic"/>
          <w:b w:val="false"/>
          <w:bCs w:val="false"/>
          <w:color w:val="6B7280"/>
          <w:sz w:val="16"/>
          <w:szCs w:val="16"/>
        </w:rPr>
        <w:t xml:space="preserve">所管：CFO・経営企画</w:t>
      </w:r>
    </w:p>
    <w:p>
      <w:pPr>
        <w:pStyle w:val="Heading2"/>
        <w:spacing w:after="80" w:before="280"/>
      </w:pPr>
      <w:r>
        <w:rPr>
          <w:rFonts w:ascii="Yu Gothic" w:cs="Yu Gothic" w:eastAsia="Yu Gothic" w:hAnsi="Yu Gothic"/>
          <w:b/>
          <w:bCs/>
          <w:color w:val="24406B"/>
        </w:rPr>
        <w:t xml:space="preserve">労務・人事</w:t>
      </w:r>
    </w:p>
    <w:p>
      <w:pPr>
        <w:pStyle w:val="Heading3"/>
        <w:spacing w:after="50" w:before="180"/>
      </w:pPr>
      <w:r>
        <w:rPr>
          <w:rFonts w:ascii="Yu Gothic" w:cs="Yu Gothic" w:eastAsia="Yu Gothic" w:hAnsi="Yu Gothic"/>
          <w:b/>
          <w:bCs/>
          <w:color w:val="24406B"/>
        </w:rPr>
        <w:t xml:space="preserve">F-09　[労務・人事] 未払残業代・社会保険・36協定等の労務コンプライアンス（従業員約120名の簿外債務リスク）</w:t>
      </w:r>
      <w:r>
        <w:rPr>
          <w:rFonts w:ascii="Yu Gothic" w:cs="Yu Gothic" w:eastAsia="Yu Gothic" w:hAnsi="Yu Gothic"/>
          <w:b/>
          <w:bCs/>
          <w:color w:val="9B2C1E"/>
        </w:rPr>
        <w:t xml:space="preserve">　【上場阻害度高】</w:t>
      </w:r>
      <w:r>
        <w:rPr>
          <w:rFonts w:ascii="Yu Gothic" w:cs="Yu Gothic" w:eastAsia="Yu Gothic" w:hAnsi="Yu Gothic"/>
          <w:color w:val="6B7280"/>
          <w:sz w:val="16"/>
          <w:szCs w:val="16"/>
        </w:rPr>
        <w:t xml:space="preserve">　着手 N-2までに遡及試算・是正・引当計上を完了</w:t>
      </w:r>
    </w:p>
    <w:p>
      <w:pPr>
        <w:spacing w:after="60"/>
      </w:pPr>
      <w:r>
        <w:rPr>
          <w:rFonts w:ascii="Yu Gothic" w:cs="Yu Gothic" w:eastAsia="Yu Gothic" w:hAnsi="Yu Gothic"/>
          <w:b w:val="false"/>
          <w:bCs w:val="false"/>
          <w:sz w:val="18"/>
          <w:szCs w:val="18"/>
        </w:rPr>
        <w:t xml:space="preserve">現状：従業員約120名。労働時間管理・固定残業代の適法性、36協定の締結・届出、社会保険・労働保険の加入状況、就業規則・賃金規程の整備状況が要検証。</w:t>
      </w:r>
    </w:p>
    <w:p>
      <w:pPr>
        <w:spacing w:after="60"/>
      </w:pPr>
      <w:r>
        <w:rPr>
          <w:rFonts w:ascii="Yu Gothic" w:cs="Yu Gothic" w:eastAsia="Yu Gothic" w:hAnsi="Yu Gothic"/>
          <w:b w:val="false"/>
          <w:bCs w:val="false"/>
          <w:sz w:val="18"/>
          <w:szCs w:val="18"/>
        </w:rPr>
        <w:t xml:space="preserve">課題・阻害リスク：未払残業代・社会保険未加入等は簿外債務リスクで審査の定番指摘。未払残業代の遡及試算は賃金請求権の消滅時効＝当分の間3年（労働基準法115条は5年に延長済みだが附則143条3項の経過措置で当分の間3年。退職手当のみ5年）を前提とする。エンジニア等の裁量労働・名ばかり管理職・業務委託の偽装請負リスク、ハラスメント防止措置義務・相談窓口の運用も確認要。</w:t>
      </w:r>
    </w:p>
    <w:p>
      <w:pPr>
        <w:spacing w:after="60"/>
      </w:pPr>
      <w:r>
        <w:rPr>
          <w:rFonts w:ascii="Yu Gothic" w:cs="Yu Gothic" w:eastAsia="Yu Gothic" w:hAnsi="Yu Gothic"/>
          <w:b w:val="false"/>
          <w:bCs w:val="false"/>
          <w:sz w:val="18"/>
          <w:szCs w:val="18"/>
        </w:rPr>
        <w:t xml:space="preserve">あるべき姿：労働基準法（時効は附則143条3項の経過措置により当分の間3年）／労働施策総合推進法（パワハラ防止措置義務）／健康保険法・厚生年金保険法・労働保険関係法令</w:t>
      </w:r>
    </w:p>
    <w:p>
      <w:pPr>
        <w:spacing w:after="60"/>
      </w:pPr>
      <w:r>
        <w:rPr>
          <w:rFonts w:ascii="Yu Gothic" w:cs="Yu Gothic" w:eastAsia="Yu Gothic" w:hAnsi="Yu Gothic"/>
          <w:b w:val="false"/>
          <w:bCs w:val="false"/>
          <w:sz w:val="18"/>
          <w:szCs w:val="18"/>
        </w:rPr>
        <w:t xml:space="preserve">改善提案：勤怠実態（PCログ・入退室等）を把握し未払残業代を時効3年前提で遡及試算のうえ是正・必要額を引当計上。固定残業代の適法性（時間数明示・超過分支払）を点検。36協定・就業規則・賃金規程を整備し届出。社保・労保の適正加入、管理監督者/業務委託区分の適法性を確認、ハラスメント相談窓口を設置・運用。</w:t>
      </w:r>
    </w:p>
    <w:p>
      <w:pPr>
        <w:spacing w:after="60"/>
      </w:pPr>
      <w:r>
        <w:rPr>
          <w:rFonts w:ascii="Yu Gothic" w:cs="Yu Gothic" w:eastAsia="Yu Gothic" w:hAnsi="Yu Gothic"/>
          <w:b w:val="false"/>
          <w:bCs w:val="false"/>
          <w:color w:val="6B7280"/>
          <w:sz w:val="16"/>
          <w:szCs w:val="16"/>
        </w:rPr>
        <w:t xml:space="preserve">所管：人事総務部</w:t>
      </w:r>
    </w:p>
    <w:p>
      <w:pPr>
        <w:pStyle w:val="Heading2"/>
        <w:spacing w:after="80" w:before="280"/>
      </w:pPr>
      <w:r>
        <w:rPr>
          <w:rFonts w:ascii="Yu Gothic" w:cs="Yu Gothic" w:eastAsia="Yu Gothic" w:hAnsi="Yu Gothic"/>
          <w:b/>
          <w:bCs/>
          <w:color w:val="24406B"/>
        </w:rPr>
        <w:t xml:space="preserve">法務・許認可・コンプライアンス</w:t>
      </w:r>
    </w:p>
    <w:p>
      <w:pPr>
        <w:pStyle w:val="Heading3"/>
        <w:spacing w:after="50" w:before="180"/>
      </w:pPr>
      <w:r>
        <w:rPr>
          <w:rFonts w:ascii="Yu Gothic" w:cs="Yu Gothic" w:eastAsia="Yu Gothic" w:hAnsi="Yu Gothic"/>
          <w:b/>
          <w:bCs/>
          <w:color w:val="24406B"/>
        </w:rPr>
        <w:t xml:space="preserve">F-10　[法務・許認可・コンプライアンス] 資金決済法登録の維持・重要契約点検・反社排除・内部通報</w:t>
      </w:r>
      <w:r>
        <w:rPr>
          <w:rFonts w:ascii="Yu Gothic" w:cs="Yu Gothic" w:eastAsia="Yu Gothic" w:hAnsi="Yu Gothic"/>
          <w:b/>
          <w:bCs/>
          <w:color w:val="8A5A00"/>
        </w:rPr>
        <w:t xml:space="preserve">　【上場阻害度中】</w:t>
      </w:r>
      <w:r>
        <w:rPr>
          <w:rFonts w:ascii="Yu Gothic" w:cs="Yu Gothic" w:eastAsia="Yu Gothic" w:hAnsi="Yu Gothic"/>
          <w:color w:val="6B7280"/>
          <w:sz w:val="16"/>
          <w:szCs w:val="16"/>
        </w:rPr>
        <w:t xml:space="preserve">　着手 N-2で許認可・契約・規程点検、反社・通報体制を運用</w:t>
      </w:r>
    </w:p>
    <w:p>
      <w:pPr>
        <w:spacing w:after="60"/>
      </w:pPr>
      <w:r>
        <w:rPr>
          <w:rFonts w:ascii="Yu Gothic" w:cs="Yu Gothic" w:eastAsia="Yu Gothic" w:hAnsi="Yu Gothic"/>
          <w:b w:val="false"/>
          <w:bCs w:val="false"/>
          <w:sz w:val="18"/>
          <w:szCs w:val="18"/>
        </w:rPr>
        <w:t xml:space="preserve">現状：資金決済法に基づく暗号資産交換業登録を保有。重要契約・係争・規程体系・反社チェック・内部通報制度の整備運用状況が要点検。</w:t>
      </w:r>
    </w:p>
    <w:p>
      <w:pPr>
        <w:spacing w:after="60"/>
      </w:pPr>
      <w:r>
        <w:rPr>
          <w:rFonts w:ascii="Yu Gothic" w:cs="Yu Gothic" w:eastAsia="Yu Gothic" w:hAnsi="Yu Gothic"/>
          <w:b w:val="false"/>
          <w:bCs w:val="false"/>
          <w:sz w:val="18"/>
          <w:szCs w:val="18"/>
        </w:rPr>
        <w:t xml:space="preserve">課題・阻害リスク：登録維持要件・変更届出（取扱暗号資産の追加等）、重要契約（信託銀行・システムベンダ等）のチェンジオブコントロール条項、係争・行政処分の有無、反社会的勢力排除体制（取引先・株主・利用者）、内部通報制度（公益通報者保護法。従業員300人以下は体制整備が努力義務にとどまるが、上場審査ではガバナンス・内部管理体制の有効性の定番確認項目）の運用が問われる。</w:t>
      </w:r>
    </w:p>
    <w:p>
      <w:pPr>
        <w:spacing w:after="60"/>
      </w:pPr>
      <w:r>
        <w:rPr>
          <w:rFonts w:ascii="Yu Gothic" w:cs="Yu Gothic" w:eastAsia="Yu Gothic" w:hAnsi="Yu Gothic"/>
          <w:b w:val="false"/>
          <w:bCs w:val="false"/>
          <w:sz w:val="18"/>
          <w:szCs w:val="18"/>
        </w:rPr>
        <w:t xml:space="preserve">あるべき姿：資金決済法／犯罪収益移転防止法／公益通報者保護法／東京証券取引所上場審査（その他公益・投資者保護）</w:t>
      </w:r>
    </w:p>
    <w:p>
      <w:pPr>
        <w:spacing w:after="60"/>
      </w:pPr>
      <w:r>
        <w:rPr>
          <w:rFonts w:ascii="Yu Gothic" w:cs="Yu Gothic" w:eastAsia="Yu Gothic" w:hAnsi="Yu Gothic"/>
          <w:b w:val="false"/>
          <w:bCs w:val="false"/>
          <w:sz w:val="18"/>
          <w:szCs w:val="18"/>
        </w:rPr>
        <w:t xml:space="preserve">改善提案：許認可・登録の維持と変更届出フロー（取扱暗号資産追加時の審査を含む）を整備。信託銀行・システムベンダ等重要契約のCOC条項・上場時の同意要否を点検。取引先・株主・利用者の反社チェック体制を運用（データベース照合・誓約書）、内部通報窓口を社内外に設置・周知し運用実績を蓄積。規程体系を内部規程パッケージとして整備。</w:t>
      </w:r>
    </w:p>
    <w:p>
      <w:pPr>
        <w:spacing w:after="60"/>
      </w:pPr>
      <w:r>
        <w:rPr>
          <w:rFonts w:ascii="Yu Gothic" w:cs="Yu Gothic" w:eastAsia="Yu Gothic" w:hAnsi="Yu Gothic"/>
          <w:b w:val="false"/>
          <w:bCs w:val="false"/>
          <w:color w:val="6B7280"/>
          <w:sz w:val="16"/>
          <w:szCs w:val="16"/>
        </w:rPr>
        <w:t xml:space="preserve">所管：法務・コンプライアンス部</w:t>
      </w:r>
    </w:p>
    <w:p>
      <w:pPr>
        <w:pStyle w:val="Heading2"/>
        <w:spacing w:after="80" w:before="280"/>
      </w:pPr>
      <w:r>
        <w:rPr>
          <w:rFonts w:ascii="Yu Gothic" w:cs="Yu Gothic" w:eastAsia="Yu Gothic" w:hAnsi="Yu Gothic"/>
          <w:b/>
          <w:bCs/>
          <w:color w:val="24406B"/>
        </w:rPr>
        <w:t xml:space="preserve">予算・業績管理・事業計画</w:t>
      </w:r>
    </w:p>
    <w:p>
      <w:pPr>
        <w:pStyle w:val="Heading3"/>
        <w:spacing w:after="50" w:before="180"/>
      </w:pPr>
      <w:r>
        <w:rPr>
          <w:rFonts w:ascii="Yu Gothic" w:cs="Yu Gothic" w:eastAsia="Yu Gothic" w:hAnsi="Yu Gothic"/>
          <w:b/>
          <w:bCs/>
          <w:color w:val="24406B"/>
        </w:rPr>
        <w:t xml:space="preserve">F-11　[予算・業績管理・事業計画] 予実管理制度の整備と事業計画の合理性（暗号資産価格変動による計画未達リスク）</w:t>
      </w:r>
      <w:r>
        <w:rPr>
          <w:rFonts w:ascii="Yu Gothic" w:cs="Yu Gothic" w:eastAsia="Yu Gothic" w:hAnsi="Yu Gothic"/>
          <w:b/>
          <w:bCs/>
          <w:color w:val="9B2C1E"/>
        </w:rPr>
        <w:t xml:space="preserve">　【上場阻害度高】</w:t>
      </w:r>
      <w:r>
        <w:rPr>
          <w:rFonts w:ascii="Yu Gothic" w:cs="Yu Gothic" w:eastAsia="Yu Gothic" w:hAnsi="Yu Gothic"/>
          <w:color w:val="6B7280"/>
          <w:sz w:val="16"/>
          <w:szCs w:val="16"/>
        </w:rPr>
        <w:t xml:space="preserve">　着手 N-2で予実管理を運用開始し予算精度を向上</w:t>
      </w:r>
    </w:p>
    <w:p>
      <w:pPr>
        <w:spacing w:after="60"/>
      </w:pPr>
      <w:r>
        <w:rPr>
          <w:rFonts w:ascii="Yu Gothic" w:cs="Yu Gothic" w:eastAsia="Yu Gothic" w:hAnsi="Yu Gothic"/>
          <w:b w:val="false"/>
          <w:bCs w:val="false"/>
          <w:sz w:val="18"/>
          <w:szCs w:val="18"/>
        </w:rPr>
        <w:t xml:space="preserve">現状：予算統制・月次予実対比・差異分析・見込修正の制度、経営会議の意思決定プロセスの整備状況が要検証。暗号資産価格変動により取引高・手数料収入・自己保有暗号資産評価損益の業績変動が大きい。</w:t>
      </w:r>
    </w:p>
    <w:p>
      <w:pPr>
        <w:spacing w:after="60"/>
      </w:pPr>
      <w:r>
        <w:rPr>
          <w:rFonts w:ascii="Yu Gothic" w:cs="Yu Gothic" w:eastAsia="Yu Gothic" w:hAnsi="Yu Gothic"/>
          <w:b w:val="false"/>
          <w:bCs w:val="false"/>
          <w:sz w:val="18"/>
          <w:szCs w:val="18"/>
        </w:rPr>
        <w:t xml:space="preserve">課題・阻害リスク：上場審査では事業計画の実現可能性・根拠（前提・KPI）と予算精度が問われ、計画未達は致命的（審査中断・上場延期リスク）。取引高（売買代金）・手数料収入・利用者残高・取引種類数等のKPIに基づく計画の達成蓋然性と、暗号資産価格変動という外部要因の感応度が説明できる必要がある。</w:t>
      </w:r>
    </w:p>
    <w:p>
      <w:pPr>
        <w:spacing w:after="60"/>
      </w:pPr>
      <w:r>
        <w:rPr>
          <w:rFonts w:ascii="Yu Gothic" w:cs="Yu Gothic" w:eastAsia="Yu Gothic" w:hAnsi="Yu Gothic"/>
          <w:b w:val="false"/>
          <w:bCs w:val="false"/>
          <w:sz w:val="18"/>
          <w:szCs w:val="18"/>
        </w:rPr>
        <w:t xml:space="preserve">あるべき姿：東京証券取引所上場審査（事業計画の合理性）</w:t>
      </w:r>
    </w:p>
    <w:p>
      <w:pPr>
        <w:spacing w:after="60"/>
      </w:pPr>
      <w:r>
        <w:rPr>
          <w:rFonts w:ascii="Yu Gothic" w:cs="Yu Gothic" w:eastAsia="Yu Gothic" w:hAnsi="Yu Gothic"/>
          <w:b w:val="false"/>
          <w:bCs w:val="false"/>
          <w:sz w:val="18"/>
          <w:szCs w:val="18"/>
        </w:rPr>
        <w:t xml:space="preserve">改善提案：月次予実対比・差異分析・見込修正を運用し予算精度（乖離率のモニタリング）を向上。取引高・手数料収入・利用者残高・取引種類数等KPIを前提とした積上式の事業計画を作成し、暗号資産価格の感応度分析（強気/基準/保守シナリオ）を織り込む。経営会議で計画の進捗と修正を統制し議事録を整備。</w:t>
      </w:r>
    </w:p>
    <w:p>
      <w:pPr>
        <w:spacing w:after="60"/>
      </w:pPr>
      <w:r>
        <w:rPr>
          <w:rFonts w:ascii="Yu Gothic" w:cs="Yu Gothic" w:eastAsia="Yu Gothic" w:hAnsi="Yu Gothic"/>
          <w:b w:val="false"/>
          <w:bCs w:val="false"/>
          <w:color w:val="6B7280"/>
          <w:sz w:val="16"/>
          <w:szCs w:val="16"/>
        </w:rPr>
        <w:t xml:space="preserve">所管：経営企画部</w:t>
      </w:r>
    </w:p>
    <w:p>
      <w:pPr>
        <w:pStyle w:val="Heading2"/>
        <w:spacing w:after="80" w:before="280"/>
      </w:pPr>
      <w:r>
        <w:rPr>
          <w:rFonts w:ascii="Yu Gothic" w:cs="Yu Gothic" w:eastAsia="Yu Gothic" w:hAnsi="Yu Gothic"/>
          <w:b/>
          <w:bCs/>
          <w:color w:val="24406B"/>
        </w:rPr>
        <w:t xml:space="preserve">関係会社・グループ管理</w:t>
      </w:r>
    </w:p>
    <w:p>
      <w:pPr>
        <w:pStyle w:val="Heading3"/>
        <w:spacing w:after="50" w:before="180"/>
      </w:pPr>
      <w:r>
        <w:rPr>
          <w:rFonts w:ascii="Yu Gothic" w:cs="Yu Gothic" w:eastAsia="Yu Gothic" w:hAnsi="Yu Gothic"/>
          <w:b/>
          <w:bCs/>
          <w:color w:val="24406B"/>
        </w:rPr>
        <w:t xml:space="preserve">F-12　[関係会社・グループ管理] 海外子会社を含む連結範囲・グループ管理・現地法令/贈収賄防止</w:t>
      </w:r>
      <w:r>
        <w:rPr>
          <w:rFonts w:ascii="Yu Gothic" w:cs="Yu Gothic" w:eastAsia="Yu Gothic" w:hAnsi="Yu Gothic"/>
          <w:b/>
          <w:bCs/>
          <w:color w:val="8A5A00"/>
        </w:rPr>
        <w:t xml:space="preserve">　【上場阻害度中】</w:t>
      </w:r>
      <w:r>
        <w:rPr>
          <w:rFonts w:ascii="Yu Gothic" w:cs="Yu Gothic" w:eastAsia="Yu Gothic" w:hAnsi="Yu Gothic"/>
          <w:color w:val="6B7280"/>
          <w:sz w:val="16"/>
          <w:szCs w:val="16"/>
        </w:rPr>
        <w:t xml:space="preserve">　着手 N-2でグループ再編・関係会社整理、連結決算体制構築</w:t>
      </w:r>
    </w:p>
    <w:p>
      <w:pPr>
        <w:spacing w:after="60"/>
      </w:pPr>
      <w:r>
        <w:rPr>
          <w:rFonts w:ascii="Yu Gothic" w:cs="Yu Gothic" w:eastAsia="Yu Gothic" w:hAnsi="Yu Gothic"/>
          <w:b w:val="false"/>
          <w:bCs w:val="false"/>
          <w:sz w:val="18"/>
          <w:szCs w:val="18"/>
        </w:rPr>
        <w:t xml:space="preserve">現状：海外子会社ありの連結。連結範囲の適切性、関係会社管理規程による子会社ガバナンス、グループ間取引条件、海外現地法令/税務の対応状況が要検証。</w:t>
      </w:r>
    </w:p>
    <w:p>
      <w:pPr>
        <w:spacing w:after="60"/>
      </w:pPr>
      <w:r>
        <w:rPr>
          <w:rFonts w:ascii="Yu Gothic" w:cs="Yu Gothic" w:eastAsia="Yu Gothic" w:hAnsi="Yu Gothic"/>
          <w:b w:val="false"/>
          <w:bCs w:val="false"/>
          <w:sz w:val="18"/>
          <w:szCs w:val="18"/>
        </w:rPr>
        <w:t xml:space="preserve">課題・阻害リスク：連結範囲の適切性、子会社の決算・内部統制体制、グループ間取引の条件、休眠・整理対象会社の有無、海外子会社の連結ガバナンス・現地法令/税務・贈収賄防止（外国公務員贈賄＝不正競争防止法、現地贈賄防止法令）が論点。海外での暗号資産関連規制（現地ライセンス要否）の遵守と、海外子会社の決算締めが連結早期化のボトルネックになりうる点も要検証。</w:t>
      </w:r>
    </w:p>
    <w:p>
      <w:pPr>
        <w:spacing w:after="60"/>
      </w:pPr>
      <w:r>
        <w:rPr>
          <w:rFonts w:ascii="Yu Gothic" w:cs="Yu Gothic" w:eastAsia="Yu Gothic" w:hAnsi="Yu Gothic"/>
          <w:b w:val="false"/>
          <w:bCs w:val="false"/>
          <w:sz w:val="18"/>
          <w:szCs w:val="18"/>
        </w:rPr>
        <w:t xml:space="preserve">あるべき姿：連結財務諸表に関する会計基準／不正競争防止法（外国公務員贈賄）／各国現地法令（要照合）</w:t>
      </w:r>
    </w:p>
    <w:p>
      <w:pPr>
        <w:spacing w:after="60"/>
      </w:pPr>
      <w:r>
        <w:rPr>
          <w:rFonts w:ascii="Yu Gothic" w:cs="Yu Gothic" w:eastAsia="Yu Gothic" w:hAnsi="Yu Gothic"/>
          <w:b w:val="false"/>
          <w:bCs w:val="false"/>
          <w:sz w:val="18"/>
          <w:szCs w:val="18"/>
        </w:rPr>
        <w:t xml:space="preserve">改善提案：連結範囲を確定し関係会社管理規程で子会社ガバナンス（決裁権限・報告義務・決算スケジュール）を構築。グループ間取引条件を第三者間基準で整理。休眠・不要会社の整理計画を策定。海外子会社の現地法令/税務・現地暗号資産規制・贈収賄防止（腐敗リスク評価・規程・研修）体制を整備し連結決算の早期化を図る。</w:t>
      </w:r>
    </w:p>
    <w:p>
      <w:pPr>
        <w:spacing w:after="60"/>
      </w:pPr>
      <w:r>
        <w:rPr>
          <w:rFonts w:ascii="Yu Gothic" w:cs="Yu Gothic" w:eastAsia="Yu Gothic" w:hAnsi="Yu Gothic"/>
          <w:b w:val="false"/>
          <w:bCs w:val="false"/>
          <w:color w:val="6B7280"/>
          <w:sz w:val="16"/>
          <w:szCs w:val="16"/>
        </w:rPr>
        <w:t xml:space="preserve">所管：経営企画・管理部</w:t>
      </w:r>
    </w:p>
    <w:p>
      <w:pPr>
        <w:pStyle w:val="Heading2"/>
        <w:spacing w:after="80" w:before="280"/>
      </w:pPr>
      <w:r>
        <w:rPr>
          <w:rFonts w:ascii="Yu Gothic" w:cs="Yu Gothic" w:eastAsia="Yu Gothic" w:hAnsi="Yu Gothic"/>
          <w:b/>
          <w:bCs/>
          <w:color w:val="24406B"/>
        </w:rPr>
        <w:t xml:space="preserve">暗号資産交換業固有（分別管理・期末評価・ウォレット統制）</w:t>
      </w:r>
    </w:p>
    <w:p>
      <w:pPr>
        <w:pStyle w:val="Heading3"/>
        <w:spacing w:after="50" w:before="180"/>
      </w:pPr>
      <w:r>
        <w:rPr>
          <w:rFonts w:ascii="Yu Gothic" w:cs="Yu Gothic" w:eastAsia="Yu Gothic" w:hAnsi="Yu Gothic"/>
          <w:b/>
          <w:bCs/>
          <w:color w:val="24406B"/>
        </w:rPr>
        <w:t xml:space="preserve">F-13　[暗号資産交換業固有（分別管理・期末評価・ウォレット統制）] 利用者財産の分別管理内部統制（金銭の信託・暗号資産の同種同量・三層照合）と分別管理監査・J-SOXの役割分担</w:t>
      </w:r>
      <w:r>
        <w:rPr>
          <w:rFonts w:ascii="Yu Gothic" w:cs="Yu Gothic" w:eastAsia="Yu Gothic" w:hAnsi="Yu Gothic"/>
          <w:b/>
          <w:bCs/>
          <w:color w:val="9B2C1E"/>
        </w:rPr>
        <w:t xml:space="preserve">　【上場阻害度高】</w:t>
      </w:r>
      <w:r>
        <w:rPr>
          <w:rFonts w:ascii="Yu Gothic" w:cs="Yu Gothic" w:eastAsia="Yu Gothic" w:hAnsi="Yu Gothic"/>
          <w:color w:val="6B7280"/>
          <w:sz w:val="16"/>
          <w:szCs w:val="16"/>
        </w:rPr>
        <w:t xml:space="preserve">　着手 N-2で分別管理統制の実効運用と証跡整備</w:t>
      </w:r>
    </w:p>
    <w:p>
      <w:pPr>
        <w:spacing w:after="60"/>
      </w:pPr>
      <w:r>
        <w:rPr>
          <w:rFonts w:ascii="Yu Gothic" w:cs="Yu Gothic" w:eastAsia="Yu Gothic" w:hAnsi="Yu Gothic"/>
          <w:b w:val="false"/>
          <w:bCs w:val="false"/>
          <w:sz w:val="18"/>
          <w:szCs w:val="18"/>
        </w:rPr>
        <w:t xml:space="preserve">現状：利用者財産の分別管理（金銭の信託・暗号資産の同種同量・三層照合）を実施。分別管理監査（資金決済法第63条の11第3項の外部監査）とJ-SOX評価の役割分担が未整理。</w:t>
      </w:r>
    </w:p>
    <w:p>
      <w:pPr>
        <w:spacing w:after="60"/>
      </w:pPr>
      <w:r>
        <w:rPr>
          <w:rFonts w:ascii="Yu Gothic" w:cs="Yu Gothic" w:eastAsia="Yu Gothic" w:hAnsi="Yu Gothic"/>
          <w:b w:val="false"/>
          <w:bCs w:val="false"/>
          <w:sz w:val="18"/>
          <w:szCs w:val="18"/>
        </w:rPr>
        <w:t xml:space="preserve">課題・阻害リスク：分別管理の内部統制（残高照合の自動化・定期社内検査）の実効性と証跡、分別管理監査とJ-SOX評価の対象範囲・責任分担・整合が問われる。三層照合（自社帳簿・ブロックチェーン上残高・信託銀行等の管理残高）の運用証跡が不足すると分別管理監査・上場審査の双方で指摘対象となる。</w:t>
      </w:r>
    </w:p>
    <w:p>
      <w:pPr>
        <w:spacing w:after="60"/>
      </w:pPr>
      <w:r>
        <w:rPr>
          <w:rFonts w:ascii="Yu Gothic" w:cs="Yu Gothic" w:eastAsia="Yu Gothic" w:hAnsi="Yu Gothic"/>
          <w:b w:val="false"/>
          <w:bCs w:val="false"/>
          <w:sz w:val="18"/>
          <w:szCs w:val="18"/>
        </w:rPr>
        <w:t xml:space="preserve">あるべき姿：資金決済法第63条の11・同第63条の11第3項（分別管理監査）／金融庁事務ガイドライン（第三分冊：金融会社関係）</w:t>
      </w:r>
    </w:p>
    <w:p>
      <w:pPr>
        <w:spacing w:after="60"/>
      </w:pPr>
      <w:r>
        <w:rPr>
          <w:rFonts w:ascii="Yu Gothic" w:cs="Yu Gothic" w:eastAsia="Yu Gothic" w:hAnsi="Yu Gothic"/>
          <w:b w:val="false"/>
          <w:bCs w:val="false"/>
          <w:sz w:val="18"/>
          <w:szCs w:val="18"/>
        </w:rPr>
        <w:t xml:space="preserve">改善提案：金銭の信託・暗号資産の同種同量管理と三層照合（帳簿・ブロックチェーン・信託銀行等）を日次で自動化し照合差異の解消手続・証跡を保存。分別管理監査（外部監査）とJ-SOX評価の対象範囲・責任を明確に分担する対応表を作成し二重・漏れを排除。定期社内検査の計画・実施記録を整備。</w:t>
      </w:r>
    </w:p>
    <w:p>
      <w:pPr>
        <w:spacing w:after="60"/>
      </w:pPr>
      <w:r>
        <w:rPr>
          <w:rFonts w:ascii="Yu Gothic" w:cs="Yu Gothic" w:eastAsia="Yu Gothic" w:hAnsi="Yu Gothic"/>
          <w:b w:val="false"/>
          <w:bCs w:val="false"/>
          <w:color w:val="6B7280"/>
          <w:sz w:val="16"/>
          <w:szCs w:val="16"/>
        </w:rPr>
        <w:t xml:space="preserve">所管：リスク管理・内部統制部</w:t>
      </w:r>
    </w:p>
    <w:p>
      <w:pPr>
        <w:pStyle w:val="Heading3"/>
        <w:spacing w:after="50" w:before="180"/>
      </w:pPr>
      <w:r>
        <w:rPr>
          <w:rFonts w:ascii="Yu Gothic" w:cs="Yu Gothic" w:eastAsia="Yu Gothic" w:hAnsi="Yu Gothic"/>
          <w:b/>
          <w:bCs/>
          <w:color w:val="24406B"/>
        </w:rPr>
        <w:t xml:space="preserve">F-14　[暗号資産交換業固有（分別管理・期末評価・ウォレット統制）] 自己保有暗号資産の期末評価・売却損益認識・種類別開示（実務対応報告第38号）</w:t>
      </w:r>
      <w:r>
        <w:rPr>
          <w:rFonts w:ascii="Yu Gothic" w:cs="Yu Gothic" w:eastAsia="Yu Gothic" w:hAnsi="Yu Gothic"/>
          <w:b/>
          <w:bCs/>
          <w:color w:val="9B2C1E"/>
        </w:rPr>
        <w:t xml:space="preserve">　【上場阻害度高】</w:t>
      </w:r>
      <w:r>
        <w:rPr>
          <w:rFonts w:ascii="Yu Gothic" w:cs="Yu Gothic" w:eastAsia="Yu Gothic" w:hAnsi="Yu Gothic"/>
          <w:color w:val="6B7280"/>
          <w:sz w:val="16"/>
          <w:szCs w:val="16"/>
        </w:rPr>
        <w:t xml:space="preserve">　着手 N-2上期に会計方針確定・検証プロセス文書化</w:t>
      </w:r>
    </w:p>
    <w:p>
      <w:pPr>
        <w:spacing w:after="60"/>
      </w:pPr>
      <w:r>
        <w:rPr>
          <w:rFonts w:ascii="Yu Gothic" w:cs="Yu Gothic" w:eastAsia="Yu Gothic" w:hAnsi="Yu Gothic"/>
          <w:b w:val="false"/>
          <w:bCs w:val="false"/>
          <w:sz w:val="18"/>
          <w:szCs w:val="18"/>
        </w:rPr>
        <w:t xml:space="preserve">現状：自己保有暗号資産を時価評価。利用者預かり暗号資産は負債計上し、その市場価格変動は損益に影響しない処理。</w:t>
      </w:r>
    </w:p>
    <w:p>
      <w:pPr>
        <w:spacing w:after="60"/>
      </w:pPr>
      <w:r>
        <w:rPr>
          <w:rFonts w:ascii="Yu Gothic" w:cs="Yu Gothic" w:eastAsia="Yu Gothic" w:hAnsi="Yu Gothic"/>
          <w:b w:val="false"/>
          <w:bCs w:val="false"/>
          <w:sz w:val="18"/>
          <w:szCs w:val="18"/>
        </w:rPr>
        <w:t xml:space="preserve">課題・阻害リスク：活発な市場の有無に応じた期末評価（時価/取得原価）の判定と『公正な評価額』（採用する市場価格）の検証プロセスの文書化が必要。売却損益の認識時点、種類別開示、利用者預かり暗号資産の会計処理の準拠が問われる。自己保有暗号資産の評価は価格変動を通じ財務諸表への影響が大きく、監査上の重要な見積り論点となる。</w:t>
      </w:r>
    </w:p>
    <w:p>
      <w:pPr>
        <w:spacing w:after="60"/>
      </w:pPr>
      <w:r>
        <w:rPr>
          <w:rFonts w:ascii="Yu Gothic" w:cs="Yu Gothic" w:eastAsia="Yu Gothic" w:hAnsi="Yu Gothic"/>
          <w:b w:val="false"/>
          <w:bCs w:val="false"/>
          <w:sz w:val="18"/>
          <w:szCs w:val="18"/>
        </w:rPr>
        <w:t xml:space="preserve">あるべき姿：資金決済法における暗号資産の会計処理等に関する当面の取扱い（実務対応報告第38号）</w:t>
      </w:r>
    </w:p>
    <w:p>
      <w:pPr>
        <w:spacing w:after="60"/>
      </w:pPr>
      <w:r>
        <w:rPr>
          <w:rFonts w:ascii="Yu Gothic" w:cs="Yu Gothic" w:eastAsia="Yu Gothic" w:hAnsi="Yu Gothic"/>
          <w:b w:val="false"/>
          <w:bCs w:val="false"/>
          <w:sz w:val="18"/>
          <w:szCs w:val="18"/>
        </w:rPr>
        <w:t xml:space="preserve">改善提案：活発な市場の有無の判定基準・使用する市場価格（複数取引所からの採用ルール）・『公正な評価額』の検証プロセスを文書化。売却損益の認識時点・種類別開示の方針を確定し社内規程を整備。監査法人と評価方法・検証手続を事前協議し監査対応可能な証跡を残す。</w:t>
      </w:r>
    </w:p>
    <w:p>
      <w:pPr>
        <w:spacing w:after="60"/>
      </w:pPr>
      <w:r>
        <w:rPr>
          <w:rFonts w:ascii="Yu Gothic" w:cs="Yu Gothic" w:eastAsia="Yu Gothic" w:hAnsi="Yu Gothic"/>
          <w:b w:val="false"/>
          <w:bCs w:val="false"/>
          <w:color w:val="6B7280"/>
          <w:sz w:val="16"/>
          <w:szCs w:val="16"/>
        </w:rPr>
        <w:t xml:space="preserve">所管：経理部・監査法人</w:t>
      </w:r>
    </w:p>
    <w:p>
      <w:pPr>
        <w:pStyle w:val="Heading3"/>
        <w:spacing w:after="50" w:before="180"/>
      </w:pPr>
      <w:r>
        <w:rPr>
          <w:rFonts w:ascii="Yu Gothic" w:cs="Yu Gothic" w:eastAsia="Yu Gothic" w:hAnsi="Yu Gothic"/>
          <w:b/>
          <w:bCs/>
          <w:color w:val="24406B"/>
        </w:rPr>
        <w:t xml:space="preserve">F-15　[暗号資産交換業固有（分別管理・期末評価・ウォレット統制）] ウォレット統制（95%以上コールド・履行保証暗号資産・秘密鍵/マルチシグ）・KYC/AML・トラベルルールおよび財産的基礎（金商法移管対応）</w:t>
      </w:r>
      <w:r>
        <w:rPr>
          <w:rFonts w:ascii="Yu Gothic" w:cs="Yu Gothic" w:eastAsia="Yu Gothic" w:hAnsi="Yu Gothic"/>
          <w:b/>
          <w:bCs/>
          <w:color w:val="9B2C1E"/>
        </w:rPr>
        <w:t xml:space="preserve">　【上場阻害度高】</w:t>
      </w:r>
      <w:r>
        <w:rPr>
          <w:rFonts w:ascii="Yu Gothic" w:cs="Yu Gothic" w:eastAsia="Yu Gothic" w:hAnsi="Yu Gothic"/>
          <w:color w:val="6B7280"/>
          <w:sz w:val="16"/>
          <w:szCs w:val="16"/>
        </w:rPr>
        <w:t xml:space="preserve">　着手 N-2でウォレット統制・AML運用を確認、金商法移管準備を計画化</w:t>
      </w:r>
    </w:p>
    <w:p>
      <w:pPr>
        <w:spacing w:after="60"/>
      </w:pPr>
      <w:r>
        <w:rPr>
          <w:rFonts w:ascii="Yu Gothic" w:cs="Yu Gothic" w:eastAsia="Yu Gothic" w:hAnsi="Yu Gothic"/>
          <w:b w:val="false"/>
          <w:bCs w:val="false"/>
          <w:sz w:val="18"/>
          <w:szCs w:val="18"/>
        </w:rPr>
        <w:t xml:space="preserve">現状：受託暗号資産のコールドウォレット管理・秘密鍵管理・マルチシグ、KYC/AML・トラベルルール、財産的基礎の状況を確認。ヒアリングで『自己資本規制比率140%』への言及あり。</w:t>
      </w:r>
    </w:p>
    <w:p>
      <w:pPr>
        <w:spacing w:after="60"/>
      </w:pPr>
      <w:r>
        <w:rPr>
          <w:rFonts w:ascii="Yu Gothic" w:cs="Yu Gothic" w:eastAsia="Yu Gothic" w:hAnsi="Yu Gothic"/>
          <w:b w:val="false"/>
          <w:bCs w:val="false"/>
          <w:sz w:val="18"/>
          <w:szCs w:val="18"/>
        </w:rPr>
        <w:t xml:space="preserve">課題・阻害リスク：『自己資本規制比率』は金融商品取引法の第一種金融商品取引業の概念であり資金決済法には存在しない。資金決済法登録のみの現行要件としては用いず、財産的基礎は資本金1,000万円以上かつ純資産額が負でないことで整理し、自己資本規制比率は金商法移管（2027年度見込）後の論点として位置づける必要がある。受託暗号資産の95%以上のコールドウォレット管理義務と残余ホット分に対応する履行保証暗号資産の保持、秘密鍵管理・マルチシグ、KYC/AML・トラベルルールの実効性が問われる。</w:t>
      </w:r>
    </w:p>
    <w:p>
      <w:pPr>
        <w:spacing w:after="60"/>
      </w:pPr>
      <w:r>
        <w:rPr>
          <w:rFonts w:ascii="Yu Gothic" w:cs="Yu Gothic" w:eastAsia="Yu Gothic" w:hAnsi="Yu Gothic"/>
          <w:b w:val="false"/>
          <w:bCs w:val="false"/>
          <w:sz w:val="18"/>
          <w:szCs w:val="18"/>
        </w:rPr>
        <w:t xml:space="preserve">あるべき姿：資金決済法第63条の11の2（コールドウォレット・履行保証暗号資産）／犯罪収益移転防止法（本人確認・疑わしい取引届出・7年間記録保存・トラベルルール）／金融商品取引法（移管後）</w:t>
      </w:r>
    </w:p>
    <w:p>
      <w:pPr>
        <w:spacing w:after="60"/>
      </w:pPr>
      <w:r>
        <w:rPr>
          <w:rFonts w:ascii="Yu Gothic" w:cs="Yu Gothic" w:eastAsia="Yu Gothic" w:hAnsi="Yu Gothic"/>
          <w:b w:val="false"/>
          <w:bCs w:val="false"/>
          <w:sz w:val="18"/>
          <w:szCs w:val="18"/>
        </w:rPr>
        <w:t xml:space="preserve">改善提案：受託暗号資産の95%以上コールドウォレット管理と残余ホット分の履行保証暗号資産の保持、秘密鍵管理・マルチシグの運用を検証し証跡化。KYC/AML・疑わしい取引届出・トラベルルールの運用実効性（該非判定・記録保存7年）を確認。財産的基礎は資金決済法要件（資本金1,000万円以上・純資産が負でないこと）で管理し、自己資本規制比率は金商法移管後の要件として移管準備計画に明確に位置づける。</w:t>
      </w:r>
    </w:p>
    <w:p>
      <w:pPr>
        <w:spacing w:after="60"/>
      </w:pPr>
      <w:r>
        <w:rPr>
          <w:rFonts w:ascii="Yu Gothic" w:cs="Yu Gothic" w:eastAsia="Yu Gothic" w:hAnsi="Yu Gothic"/>
          <w:b w:val="false"/>
          <w:bCs w:val="false"/>
          <w:color w:val="6B7280"/>
          <w:sz w:val="16"/>
          <w:szCs w:val="16"/>
        </w:rPr>
        <w:t xml:space="preserve">所管：リスク管理・コンプライアンス部</w:t>
      </w:r>
    </w:p>
    <w:p>
      <w:pPr>
        <w:pStyle w:val="Heading1"/>
        <w:spacing w:after="80" w:before="280"/>
      </w:pPr>
      <w:r>
        <w:rPr>
          <w:rFonts w:ascii="Yu Gothic" w:cs="Yu Gothic" w:eastAsia="Yu Gothic" w:hAnsi="Yu Gothic"/>
          <w:b/>
          <w:bCs/>
          <w:color w:val="24406B"/>
        </w:rPr>
        <w:t xml:space="preserve">3. 改善ロードマップ</w:t>
      </w:r>
    </w:p>
    <w:tbl>
      <w:tblPr>
        <w:tblW w:type="pct" w:w="100%"/>
        <w:tblBorders>
          <w:top w:val="single" w:color="D5DAE2" w:sz="3"/>
          <w:left w:val="single" w:color="D5DAE2" w:sz="3"/>
          <w:bottom w:val="single" w:color="D5DAE2" w:sz="3"/>
          <w:right w:val="single" w:color="D5DAE2" w:sz="3"/>
          <w:insideH w:val="single" w:color="D5DAE2" w:sz="3"/>
          <w:insideV w:val="single" w:color="D5DAE2" w:sz="3"/>
        </w:tblBorders>
      </w:tblPr>
      <w:tblGrid>
        <w:gridCol w:w="100"/>
        <w:gridCol w:w="100"/>
        <w:gridCol w:w="100"/>
        <w:gridCol w:w="100"/>
      </w:tblGrid>
      <w:tr>
        <w:trPr>
          <w:tblHeader/>
        </w:trPr>
        <w:tc>
          <w:tcPr>
            <w:tcW w:type="pct" w:w="18%"/>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時期</w:t>
            </w:r>
          </w:p>
        </w:tc>
        <w:tc>
          <w:tcPr>
            <w:tcW w:type="pct" w:w="24%"/>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テーマ</w:t>
            </w:r>
          </w:p>
        </w:tc>
        <w:tc>
          <w:tcPr>
            <w:tcW w:type="pct" w:w="40%"/>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主なアクション</w:t>
            </w:r>
          </w:p>
        </w:tc>
        <w:tc>
          <w:tcPr>
            <w:tcW w:type="pct" w:w="18%"/>
            <w:shd w:fill="24406B" w:color="auto" w:val="clear"/>
            <w:tcMar>
              <w:top w:type="dxa" w:w="30"/>
              <w:left w:type="dxa" w:w="60"/>
              <w:bottom w:type="dxa" w:w="30"/>
              <w:right w:type="dxa" w:w="60"/>
            </w:tcMar>
          </w:tcPr>
          <w:p>
            <w:r>
              <w:rPr>
                <w:rFonts w:ascii="Yu Gothic" w:cs="Yu Gothic" w:eastAsia="Yu Gothic" w:hAnsi="Yu Gothic"/>
                <w:b/>
                <w:bCs/>
                <w:color w:val="FFFFFF"/>
                <w:sz w:val="15"/>
                <w:szCs w:val="15"/>
              </w:rPr>
              <w:t xml:space="preserve">マイルストーン</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N-2 上期</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会計方針確定と外部体制確保（最優先）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収益認識（企業会計基準第29号）の取引類型別（取次・媒介手数料／スプレッド／マイニング報酬／送金手数料）5ステップ判定書と実務対応報告第38号に基づく期末評価・『公正な評価額』検証プロセスの会計方針を確定・文書化
・減損・税効果・退職給付・リース新基準（企業会計基準第34号：2027年4月開始年度強制適用）の適用要否棚卸しと影響試算
・監査法人の予備調査受診と監査契約締結、主幹事証券・株式事務代行機関の選定・契約（監査難民リスク回避のため分別管理・ウォレット統制の説明資料を先行整備）
・関連当事者・特別利害関係者取引（海外子会社取引・役員借入・債務保証）の網羅的洗い出しと解消管理表による解消計画策定
・資本政策の全体設計（希薄化・持株比率・SO・株式移動）を不可逆論点として確定
・分別管理内部統制（三層照合）・ウォレット統制（95%以上コールド・履行保証暗号資産）の実効性検証と証跡整備着手</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会計方針確定・監査契約締結・関連当事者洗い出し完了・資本政策全体設計確定</w:t>
            </w:r>
          </w:p>
        </w:tc>
      </w:tr>
      <w:tr>
        <w:tc>
          <w:tcPr>
            <w:tcW w:type="pct" w:w="1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N-2 下期</w:t>
            </w:r>
          </w:p>
        </w:tc>
        <w:tc>
          <w:tcPr>
            <w:tcW w:type="pct" w:w="24%"/>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内部統制整備・機関設計確定・四半期決算体制・簿外債務是正</w:t>
            </w:r>
          </w:p>
        </w:tc>
        <w:tc>
          <w:tcPr>
            <w:tcW w:type="pct" w:w="40%"/>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・J-SOX 3点セット（全社・業務プロセス・決算財務報告・ITGC/ITAC）整備と評価範囲設定、特権ID・秘密鍵操作権限・アクセス権限統制の整備
・監査役会設置会社の機関設計確定、社外・独立役員確保、内部監査部門をコンプライアンスから独立設置し三様監査（GIAS参照）運用
・四半期決算短信を前提とした四半期締めトライアル実施と海外子会社を含む月次連結決算早期化（翌月5営業日目標）
・未払残業代（時効3年前提）の遡及試算・是正・引当計上、社会保険適正加入、36協定・規程整備
・予実管理制度の運用開始と暗号資産価格感応度を織り込んだKPIベース事業計画の根拠整備
・許認可維持・重要契約点検、反社チェック・内部通報体制の運用、税制適格SO付与・株式移動の完了
・分別管理監査とJ-SOX評価の役割分担対応表整備、KYC/AML・トラベルルール運用確認</w:t>
            </w:r>
          </w:p>
        </w:tc>
        <w:tc>
          <w:tcPr>
            <w:tcW w:type="pct" w:w="18%"/>
            <w:shd w:fill="F3F4F6" w:color="auto" w:val="clear"/>
            <w:tcMar>
              <w:top w:type="dxa" w:w="30"/>
              <w:left w:type="dxa" w:w="60"/>
              <w:bottom w:type="dxa" w:w="30"/>
              <w:right w:type="dxa" w:w="60"/>
            </w:tcMar>
          </w:tcPr>
          <w:p>
            <w:r>
              <w:rPr>
                <w:rFonts w:ascii="Yu Gothic" w:cs="Yu Gothic" w:eastAsia="Yu Gothic" w:hAnsi="Yu Gothic"/>
                <w:b w:val="false"/>
                <w:bCs w:val="false"/>
                <w:sz w:val="15"/>
                <w:szCs w:val="15"/>
              </w:rPr>
              <w:t xml:space="preserve">3点セット整備・機関設計確定・四半期締めトライアル完了・労務是正引当・SO付与完了</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N-1</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運用評価・開示リハーサル・解消完了確認・金商法移管準備</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・内部統制の1年分運用評価証跡の蓄積と不備是正（ウォレット操作・分別管理を含む）
・開示書類（短信・計算書類・有報）作成の開示リハーサル、海外子会社を含む連結決算早期化の検証
・関連当事者取引・資金貸借・債務保証の解消完了確認
・グループ再編・関係会社整理の完了と海外子会社を含む連結決算体制の確立
・事業計画の予実精度検証（審査提出計画の達成蓋然性と価格感応度の裏付け）
・金商法移管（2027年度見込）に向けた財産的基礎の管理継続と自己資本規制比率等の移管後要件の対応準備計画策定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運用評価完了・関連当事者解消完了・開示体制稼働・計画精度確保</w:t>
            </w:r>
          </w:p>
        </w:tc>
      </w:tr>
    </w:tbl>
    <w:p>
      <w:pPr>
        <w:pStyle w:val="Heading1"/>
        <w:spacing w:after="80" w:before="280"/>
      </w:pPr>
      <w:r>
        <w:rPr>
          <w:rFonts w:ascii="Yu Gothic" w:cs="Yu Gothic" w:eastAsia="Yu Gothic" w:hAnsi="Yu Gothic"/>
          <w:b/>
          <w:bCs/>
          <w:color w:val="24406B"/>
        </w:rPr>
        <w:t xml:space="preserve">4. 総合所見</w:t>
      </w:r>
    </w:p>
    <w:p>
      <w:pPr>
        <w:spacing w:after="60"/>
      </w:pPr>
      <w:r>
        <w:rPr>
          <w:rFonts w:ascii="Yu Gothic" w:cs="Yu Gothic" w:eastAsia="Yu Gothic" w:hAnsi="Yu Gothic"/>
          <w:b w:val="false"/>
          <w:bCs w:val="false"/>
          <w:sz w:val="20"/>
          <w:szCs w:val="20"/>
        </w:rPr>
        <w:t xml:space="preserve">サンプル暗号資産交換株式会社（資金決済法登録・監査役会設置会社・従業員約120名・海外子会社連結）はN-2着手段階として、まず会計方針（収益認識＝企業会計基準第29号、自己保有暗号資産の期末評価＝実務対応報告第38号）の確定と、受嘱審査が厳格な業種であることを踏まえた監査法人・主幹事の早期確保（監査難民リスク回避）を最優先とすべきである。重要度『高』の課題は、(1)収益認識の会計方針整理、(2)連結決算早期化・四半期決算短信を前提とした四半期締めトライアル、(3)監査法人・主幹事等外部体制確保、(4)J-SOX 3点セット整備（ITGC/ウォレット操作統制重視）、(5)監査役会設置会社の機関設計確定・社外役員・三様監査、(6)関連当事者・特別利害関係者取引（海外子会社・役員借入）の把握と解消、(7)未払残業代・社保等の労務是正（簿外債務・時効当分の間3年）、(8)予実管理・事業計画の合理性（暗号資産価格変動による計画未達リスク）、(9)自己保有暗号資産の期末評価（実務対応報告第38号）、(10)分別管理内部統制（三層照合）と分別管理監査・J-SOXの役割分担、(11)ウォレット統制（95%以上コールド・履行保証暗号資産）・KYC/AML・トラベルルール・財産的基礎（金商法移管対応）である。特に審査で致命傷となる『関連当事者取引（企業経営の健全性）・事業計画の実現可能性・簿外債務』は過小評価せず高重要度として早期解消・整備を必須とする。なお『自己資本規制比率』は資金決済法には存在せず金商法移管（2027年度見込）後の論点として位置づけ、現行の財産的基礎は資本金1,000万円以上かつ純資産が負でないことで管理する点に留意する。上記の高重要度課題はすべてロードマップの各フェーズに落とし込んでおり、N-2での整備・N-1での運用評価と解消完了確認を経て上場申請体制の確立を図る。本書は会計士レビュー前提のドラフトであり、実地調査により内容を確定する。</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Gothic" w:cs="Yu Gothic" w:eastAsia="Yu Gothic" w:hAnsi="Yu Gothic"/>
        <w:color w:val="6B7280"/>
        <w:sz w:val="14"/>
        <w:szCs w:val="14"/>
      </w:rPr>
      <w:t xml:space="preserve">サンプル暗号資産交換株式会社　ショートレビュー　—　</w:t>
    </w:r>
    <w:r>
      <w:rPr>
        <w:rFonts w:ascii="Yu Gothic" w:cs="Yu Gothic" w:eastAsia="Yu Gothic" w:hAnsi="Yu Gothic"/>
        <w:color w:val="6B7280"/>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サンプル暗号資産交換株式会社 ショートレビュー</dc:title>
  <dc:creator>BENTO — 会計士 × AI</dc:creator>
  <cp:lastModifiedBy>Un-named</cp:lastModifiedBy>
  <cp:revision>1</cp:revision>
  <dcterms:created xsi:type="dcterms:W3CDTF">2026-09-06T06:29:12.255Z</dcterms:created>
  <dcterms:modified xsi:type="dcterms:W3CDTF">2026-09-06T06:29:12.255Z</dcterms:modified>
</cp:coreProperties>
</file>

<file path=docProps/custom.xml><?xml version="1.0" encoding="utf-8"?>
<Properties xmlns="http://schemas.openxmlformats.org/officeDocument/2006/custom-properties" xmlns:vt="http://schemas.openxmlformats.org/officeDocument/2006/docPropsVTypes"/>
</file>