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Pr>
        <w:jc w:val="left"/>
      </w:pPr>
      <w:r>
        <w:rPr>
          <w:rFonts w:eastAsia="Hiragino Sans" w:ascii="Hiragino Sans" w:hAnsi="Hiragino Sans"/>
          <w:b/>
          <w:color w:val="C0392B"/>
          <w:sz w:val="22"/>
        </w:rPr>
        <w:t>ACCOUNTING POLICY</w:t>
      </w:r>
    </w:p>
    <w:p>
      <w:r>
        <w:rPr>
          <w:rFonts w:eastAsia="Hiragino Sans" w:ascii="Hiragino Sans" w:hAnsi="Hiragino Sans"/>
          <w:b/>
          <w:color w:val="24406B"/>
          <w:sz w:val="48"/>
        </w:rPr>
        <w:t>役務提供の収益認識に関する会計処理方針書</w:t>
      </w:r>
    </w:p>
    <w:p>
      <w:r>
        <w:rPr>
          <w:rFonts w:eastAsia="Hiragino Sans" w:ascii="Hiragino Sans" w:hAnsi="Hiragino Sans"/>
          <w:color w:val="444444"/>
          <w:sz w:val="25"/>
        </w:rPr>
        <w:t>サンプルサービス株式会社／第12期（2026年3月期）</w:t>
      </w:r>
    </w:p>
    <w:p/>
    <w:tbl>
      <w:tblPr>
        <w:tblStyle w:val="TableGrid"/>
        <w:tblW w:type="auto" w:w="0"/>
        <w:tblLook w:firstColumn="1" w:firstRow="1" w:lastColumn="0" w:lastRow="0" w:noHBand="0" w:noVBand="1" w:val="04A0"/>
      </w:tblPr>
      <w:tblGrid>
        <w:gridCol w:w="4986"/>
        <w:gridCol w:w="4986"/>
      </w:tblGrid>
      <w:tr>
        <w:tc>
          <w:tcPr>
            <w:tcW w:type="dxa" w:w="4986"/>
            <w:shd w:val="clear" w:fill="F3F4F6"/>
          </w:tcPr>
          <w:p>
            <w:r/>
            <w:r>
              <w:rPr>
                <w:rFonts w:eastAsia="Hiragino Sans" w:ascii="Hiragino Sans" w:hAnsi="Hiragino Sans"/>
                <w:b/>
                <w:sz w:val="19"/>
              </w:rPr>
              <w:t>会社名</w:t>
            </w:r>
          </w:p>
        </w:tc>
        <w:tc>
          <w:tcPr>
            <w:tcW w:type="dxa" w:w="4986"/>
          </w:tcPr>
          <w:p>
            <w:r/>
            <w:r>
              <w:rPr>
                <w:rFonts w:eastAsia="Hiragino Sans" w:ascii="Hiragino Sans" w:hAnsi="Hiragino Sans"/>
                <w:b w:val="0"/>
                <w:sz w:val="19"/>
              </w:rPr>
              <w:t>サンプルサービス株式会社（架空サンプル）</w:t>
            </w:r>
          </w:p>
        </w:tc>
      </w:tr>
      <w:tr>
        <w:tc>
          <w:tcPr>
            <w:tcW w:type="dxa" w:w="4986"/>
            <w:shd w:val="clear" w:fill="F3F4F6"/>
          </w:tcPr>
          <w:p>
            <w:r/>
            <w:r>
              <w:rPr>
                <w:rFonts w:eastAsia="Hiragino Sans" w:ascii="Hiragino Sans" w:hAnsi="Hiragino Sans"/>
                <w:b/>
                <w:sz w:val="19"/>
              </w:rPr>
              <w:t>事業内容</w:t>
            </w:r>
          </w:p>
        </w:tc>
        <w:tc>
          <w:tcPr>
            <w:tcW w:type="dxa" w:w="4986"/>
          </w:tcPr>
          <w:p>
            <w:r/>
            <w:r>
              <w:rPr>
                <w:rFonts w:eastAsia="Hiragino Sans" w:ascii="Hiragino Sans" w:hAnsi="Hiragino Sans"/>
                <w:b w:val="0"/>
                <w:sz w:val="19"/>
              </w:rPr>
              <w:t>業務受託（BPO）・コンサルティング・保守運用・研修・人材紹介</w:t>
            </w:r>
          </w:p>
        </w:tc>
      </w:tr>
      <w:tr>
        <w:tc>
          <w:tcPr>
            <w:tcW w:type="dxa" w:w="4986"/>
            <w:shd w:val="clear" w:fill="F3F4F6"/>
          </w:tcPr>
          <w:p>
            <w:r/>
            <w:r>
              <w:rPr>
                <w:rFonts w:eastAsia="Hiragino Sans" w:ascii="Hiragino Sans" w:hAnsi="Hiragino Sans"/>
                <w:b/>
                <w:sz w:val="19"/>
              </w:rPr>
              <w:t>事業年度</w:t>
            </w:r>
          </w:p>
        </w:tc>
        <w:tc>
          <w:tcPr>
            <w:tcW w:type="dxa" w:w="4986"/>
          </w:tcPr>
          <w:p>
            <w:r/>
            <w:r>
              <w:rPr>
                <w:rFonts w:eastAsia="Hiragino Sans" w:ascii="Hiragino Sans" w:hAnsi="Hiragino Sans"/>
                <w:b w:val="0"/>
                <w:sz w:val="19"/>
              </w:rPr>
              <w:t>第12期（自 2025年4月1日 至 2026年3月31日）</w:t>
            </w:r>
          </w:p>
        </w:tc>
      </w:tr>
      <w:tr>
        <w:tc>
          <w:tcPr>
            <w:tcW w:type="dxa" w:w="4986"/>
            <w:shd w:val="clear" w:fill="F3F4F6"/>
          </w:tcPr>
          <w:p>
            <w:r/>
            <w:r>
              <w:rPr>
                <w:rFonts w:eastAsia="Hiragino Sans" w:ascii="Hiragino Sans" w:hAnsi="Hiragino Sans"/>
                <w:b/>
                <w:sz w:val="19"/>
              </w:rPr>
              <w:t>準拠する基準</w:t>
            </w:r>
          </w:p>
        </w:tc>
        <w:tc>
          <w:tcPr>
            <w:tcW w:type="dxa" w:w="4986"/>
          </w:tcPr>
          <w:p>
            <w:r/>
            <w:r>
              <w:rPr>
                <w:rFonts w:eastAsia="Hiragino Sans" w:ascii="Hiragino Sans" w:hAnsi="Hiragino Sans"/>
                <w:b w:val="0"/>
                <w:sz w:val="19"/>
              </w:rPr>
              <w:t>企業会計基準第29号（最終改正2024年9月13日）／同適用指針第30号（最終改正2024年9月13日）</w:t>
            </w:r>
          </w:p>
        </w:tc>
      </w:tr>
      <w:tr>
        <w:tc>
          <w:tcPr>
            <w:tcW w:type="dxa" w:w="4986"/>
            <w:shd w:val="clear" w:fill="F3F4F6"/>
          </w:tcPr>
          <w:p>
            <w:r/>
            <w:r>
              <w:rPr>
                <w:rFonts w:eastAsia="Hiragino Sans" w:ascii="Hiragino Sans" w:hAnsi="Hiragino Sans"/>
                <w:b/>
                <w:sz w:val="19"/>
              </w:rPr>
              <w:t>適用範囲</w:t>
            </w:r>
          </w:p>
        </w:tc>
        <w:tc>
          <w:tcPr>
            <w:tcW w:type="dxa" w:w="4986"/>
          </w:tcPr>
          <w:p>
            <w:r/>
            <w:r>
              <w:rPr>
                <w:rFonts w:eastAsia="Hiragino Sans" w:ascii="Hiragino Sans" w:hAnsi="Hiragino Sans"/>
                <w:b w:val="0"/>
                <w:sz w:val="19"/>
              </w:rPr>
              <w:t>顧客との契約から生じる収益のうち役務の提供に係るもの</w:t>
            </w:r>
          </w:p>
        </w:tc>
      </w:tr>
      <w:tr>
        <w:tc>
          <w:tcPr>
            <w:tcW w:type="dxa" w:w="4986"/>
            <w:shd w:val="clear" w:fill="F3F4F6"/>
          </w:tcPr>
          <w:p>
            <w:r/>
            <w:r>
              <w:rPr>
                <w:rFonts w:eastAsia="Hiragino Sans" w:ascii="Hiragino Sans" w:hAnsi="Hiragino Sans"/>
                <w:b/>
                <w:sz w:val="19"/>
              </w:rPr>
              <w:t>所管・承認</w:t>
            </w:r>
          </w:p>
        </w:tc>
        <w:tc>
          <w:tcPr>
            <w:tcW w:type="dxa" w:w="4986"/>
          </w:tcPr>
          <w:p>
            <w:r/>
            <w:r>
              <w:rPr>
                <w:rFonts w:eastAsia="Hiragino Sans" w:ascii="Hiragino Sans" w:hAnsi="Hiragino Sans"/>
                <w:b w:val="0"/>
                <w:sz w:val="19"/>
              </w:rPr>
              <w:t>経理部（収益認識担当）／経理部長</w:t>
            </w:r>
          </w:p>
        </w:tc>
      </w:tr>
      <w:tr>
        <w:tc>
          <w:tcPr>
            <w:tcW w:type="dxa" w:w="4986"/>
            <w:shd w:val="clear" w:fill="F3F4F6"/>
          </w:tcPr>
          <w:p>
            <w:r/>
            <w:r>
              <w:rPr>
                <w:rFonts w:eastAsia="Hiragino Sans" w:ascii="Hiragino Sans" w:hAnsi="Hiragino Sans"/>
                <w:b/>
                <w:sz w:val="19"/>
              </w:rPr>
              <w:t>一次資料の確認日</w:t>
            </w:r>
          </w:p>
        </w:tc>
        <w:tc>
          <w:tcPr>
            <w:tcW w:type="dxa" w:w="4986"/>
          </w:tcPr>
          <w:p>
            <w:r/>
            <w:r>
              <w:rPr>
                <w:rFonts w:eastAsia="Hiragino Sans" w:ascii="Hiragino Sans" w:hAnsi="Hiragino Sans"/>
                <w:b w:val="0"/>
                <w:sz w:val="19"/>
              </w:rPr>
              <w:t>2026年9月5日</w:t>
            </w:r>
          </w:p>
        </w:tc>
      </w:tr>
      <w:tr>
        <w:tc>
          <w:tcPr>
            <w:tcW w:type="dxa" w:w="4986"/>
            <w:shd w:val="clear" w:fill="F3F4F6"/>
          </w:tcPr>
          <w:p>
            <w:r/>
            <w:r>
              <w:rPr>
                <w:rFonts w:eastAsia="Hiragino Sans" w:ascii="Hiragino Sans" w:hAnsi="Hiragino Sans"/>
                <w:b/>
                <w:sz w:val="19"/>
              </w:rPr>
              <w:t>作成</w:t>
            </w:r>
          </w:p>
        </w:tc>
        <w:tc>
          <w:tcPr>
            <w:tcW w:type="dxa" w:w="4986"/>
          </w:tcPr>
          <w:p>
            <w:r/>
            <w:r>
              <w:rPr>
                <w:rFonts w:eastAsia="Hiragino Sans" w:ascii="Hiragino Sans" w:hAnsi="Hiragino Sans"/>
                <w:b w:val="0"/>
                <w:sz w:val="19"/>
              </w:rPr>
              <w:t>cpaai.jp（AI生成ドラフト）</w:t>
            </w:r>
          </w:p>
        </w:tc>
      </w:tr>
      <w:tr>
        <w:tc>
          <w:tcPr>
            <w:tcW w:type="dxa" w:w="4986"/>
            <w:shd w:val="clear" w:fill="F3F4F6"/>
          </w:tcPr>
          <w:p>
            <w:r/>
            <w:r>
              <w:rPr>
                <w:rFonts w:eastAsia="Hiragino Sans" w:ascii="Hiragino Sans" w:hAnsi="Hiragino Sans"/>
                <w:b/>
                <w:sz w:val="19"/>
              </w:rPr>
              <w:t>査閲</w:t>
            </w:r>
          </w:p>
        </w:tc>
        <w:tc>
          <w:tcPr>
            <w:tcW w:type="dxa" w:w="4986"/>
          </w:tcPr>
          <w:p>
            <w:r/>
            <w:r>
              <w:rPr>
                <w:rFonts w:eastAsia="Hiragino Sans" w:ascii="Hiragino Sans" w:hAnsi="Hiragino Sans"/>
                <w:b w:val="0"/>
                <w:sz w:val="19"/>
              </w:rPr>
              <w:t>—</w:t>
            </w:r>
          </w:p>
        </w:tc>
      </w:tr>
    </w:tbl>
    <w:p/>
    <w:p>
      <w:pPr>
        <w:ind w:left="120"/>
        <w:shd w:val="clear" w:fill="F3F4F6"/>
        <w:pBdr>
          <w:left w:val="single" w:sz="18" w:space="6" w:color="24406B"/>
        </w:pBdr>
      </w:pPr>
      <w:r>
        <w:rPr>
          <w:rFonts w:eastAsia="Hiragino Sans" w:ascii="Hiragino Sans" w:hAnsi="Hiragino Sans"/>
          <w:b w:val="0"/>
          <w:i/>
          <w:color w:val="444444"/>
          <w:sz w:val="18"/>
        </w:rPr>
        <w:t>本書はAIが生成したドラフトであり、公認会計士のレビューを前提とする。会社・数値はすべて架空であり、実在の企業・個人とは一切関係がない。基準の引用は2026年9月5日時点の企業会計基準委員会の現行版で確認したものであるが、適用にあたっては必ず最新の原文を確認すること。本文中の「（要確認）」は一次資料で確定できなかった事項である。</w:t>
      </w:r>
    </w:p>
    <w:p>
      <w:r>
        <w:br w:type="page"/>
      </w:r>
    </w:p>
    <w:p>
      <w:pPr>
        <w:ind w:left="120"/>
        <w:shd w:val="clear" w:fill="F3F4F6"/>
        <w:pBdr>
          <w:left w:val="single" w:sz="18" w:space="6" w:color="24406B"/>
        </w:pBdr>
      </w:pPr>
      <w:r>
        <w:rPr>
          <w:rFonts w:eastAsia="Hiragino Sans" w:ascii="Hiragino Sans" w:hAnsi="Hiragino Sans"/>
          <w:b w:val="0"/>
          <w:i/>
          <w:color w:val="444444"/>
          <w:sz w:val="18"/>
        </w:rPr>
        <w:t>本書はAIが生成したドラフトであり、公認会計士のレビューを前提としています。会社・数値はすべて架空であり、実在の企業・個人とは一切関係ありません。基準の引用は2026年9月5日時点の企業会計基準委員会（ASBJ）の現行版で確認したものですが、適用にあたっては必ず最新の原文をご確認ください。本文中の「（要確認）」は一次資料で確定できなかった事項です。</w:t>
      </w:r>
    </w:p>
    <w:tbl>
      <w:tblPr>
        <w:tblStyle w:val="TableGrid"/>
        <w:tblW w:type="auto" w:w="0"/>
        <w:jc w:val="center"/>
        <w:tblLayout w:type="autofit"/>
        <w:tblLook w:firstColumn="1" w:firstRow="1" w:lastColumn="0" w:lastRow="0" w:noHBand="0" w:noVBand="1" w:val="04A0"/>
      </w:tblPr>
      <w:tblGrid>
        <w:gridCol w:w="4986"/>
        <w:gridCol w:w="4986"/>
      </w:tblGrid>
      <w:tr>
        <w:tc>
          <w:tcPr>
            <w:tcW w:type="dxa" w:w="4986"/>
            <w:shd w:val="clear" w:fill="24406B"/>
          </w:tcPr>
          <w:p>
            <w:r/>
            <w:r>
              <w:rPr>
                <w:rFonts w:eastAsia="Hiragino Sans" w:ascii="Hiragino Sans" w:hAnsi="Hiragino Sans"/>
                <w:b/>
                <w:color w:val="FFFFFF"/>
                <w:sz w:val="18"/>
              </w:rPr>
              <w:t>項目</w:t>
            </w:r>
          </w:p>
        </w:tc>
        <w:tc>
          <w:tcPr>
            <w:tcW w:type="dxa" w:w="4986"/>
            <w:shd w:val="clear" w:fill="24406B"/>
          </w:tcPr>
          <w:p>
            <w:r/>
            <w:r>
              <w:rPr>
                <w:rFonts w:eastAsia="Hiragino Sans" w:ascii="Hiragino Sans" w:hAnsi="Hiragino Sans"/>
                <w:b/>
                <w:color w:val="FFFFFF"/>
                <w:sz w:val="18"/>
              </w:rPr>
              <w:t>記載内容</w:t>
            </w:r>
          </w:p>
        </w:tc>
      </w:tr>
      <w:tr>
        <w:tc>
          <w:tcPr>
            <w:tcW w:type="dxa" w:w="4986"/>
          </w:tcPr>
          <w:p>
            <w:r/>
            <w:r>
              <w:rPr>
                <w:rFonts w:eastAsia="Hiragino Sans" w:ascii="Hiragino Sans" w:hAnsi="Hiragino Sans"/>
                <w:b w:val="0"/>
                <w:sz w:val="18"/>
              </w:rPr>
              <w:t>文書名</w:t>
            </w:r>
          </w:p>
        </w:tc>
        <w:tc>
          <w:tcPr>
            <w:tcW w:type="dxa" w:w="4986"/>
          </w:tcPr>
          <w:p>
            <w:r/>
            <w:r>
              <w:rPr>
                <w:rFonts w:eastAsia="Hiragino Sans" w:ascii="Hiragino Sans" w:hAnsi="Hiragino Sans"/>
                <w:b w:val="0"/>
                <w:sz w:val="18"/>
              </w:rPr>
              <w:t>役務提供の収益認識に関する会計処理方針書</w:t>
            </w:r>
          </w:p>
        </w:tc>
      </w:tr>
      <w:tr>
        <w:tc>
          <w:tcPr>
            <w:tcW w:type="dxa" w:w="4986"/>
            <w:shd w:val="clear" w:fill="F7F8FA"/>
          </w:tcPr>
          <w:p>
            <w:r/>
            <w:r>
              <w:rPr>
                <w:rFonts w:eastAsia="Hiragino Sans" w:ascii="Hiragino Sans" w:hAnsi="Hiragino Sans"/>
                <w:b w:val="0"/>
                <w:sz w:val="18"/>
              </w:rPr>
              <w:t>会社名</w:t>
            </w:r>
          </w:p>
        </w:tc>
        <w:tc>
          <w:tcPr>
            <w:tcW w:type="dxa" w:w="4986"/>
            <w:shd w:val="clear" w:fill="F7F8FA"/>
          </w:tcPr>
          <w:p>
            <w:r/>
            <w:r>
              <w:rPr>
                <w:rFonts w:eastAsia="Hiragino Sans" w:ascii="Hiragino Sans" w:hAnsi="Hiragino Sans"/>
                <w:b w:val="0"/>
                <w:sz w:val="18"/>
              </w:rPr>
              <w:t>サンプルサービス株式会社（架空サンプル）</w:t>
            </w:r>
          </w:p>
        </w:tc>
      </w:tr>
      <w:tr>
        <w:tc>
          <w:tcPr>
            <w:tcW w:type="dxa" w:w="4986"/>
          </w:tcPr>
          <w:p>
            <w:r/>
            <w:r>
              <w:rPr>
                <w:rFonts w:eastAsia="Hiragino Sans" w:ascii="Hiragino Sans" w:hAnsi="Hiragino Sans"/>
                <w:b w:val="0"/>
                <w:sz w:val="18"/>
              </w:rPr>
              <w:t>事業年度</w:t>
            </w:r>
          </w:p>
        </w:tc>
        <w:tc>
          <w:tcPr>
            <w:tcW w:type="dxa" w:w="4986"/>
          </w:tcPr>
          <w:p>
            <w:r/>
            <w:r>
              <w:rPr>
                <w:rFonts w:eastAsia="Hiragino Sans" w:ascii="Hiragino Sans" w:hAnsi="Hiragino Sans"/>
                <w:b w:val="0"/>
                <w:sz w:val="18"/>
              </w:rPr>
              <w:t>第12期（自 2025年4月1日 至 2026年3月31日）</w:t>
            </w:r>
          </w:p>
        </w:tc>
      </w:tr>
      <w:tr>
        <w:tc>
          <w:tcPr>
            <w:tcW w:type="dxa" w:w="4986"/>
            <w:shd w:val="clear" w:fill="F7F8FA"/>
          </w:tcPr>
          <w:p>
            <w:r/>
            <w:r>
              <w:rPr>
                <w:rFonts w:eastAsia="Hiragino Sans" w:ascii="Hiragino Sans" w:hAnsi="Hiragino Sans"/>
                <w:b w:val="0"/>
                <w:sz w:val="18"/>
              </w:rPr>
              <w:t>事業内容</w:t>
            </w:r>
          </w:p>
        </w:tc>
        <w:tc>
          <w:tcPr>
            <w:tcW w:type="dxa" w:w="4986"/>
            <w:shd w:val="clear" w:fill="F7F8FA"/>
          </w:tcPr>
          <w:p>
            <w:r/>
            <w:r>
              <w:rPr>
                <w:rFonts w:eastAsia="Hiragino Sans" w:ascii="Hiragino Sans" w:hAnsi="Hiragino Sans"/>
                <w:b w:val="0"/>
                <w:sz w:val="18"/>
              </w:rPr>
              <w:t>業務受託（BPO）・コンサルティング・保守運用・研修・人材紹介</w:t>
            </w:r>
          </w:p>
        </w:tc>
      </w:tr>
      <w:tr>
        <w:tc>
          <w:tcPr>
            <w:tcW w:type="dxa" w:w="4986"/>
          </w:tcPr>
          <w:p>
            <w:r/>
            <w:r>
              <w:rPr>
                <w:rFonts w:eastAsia="Hiragino Sans" w:ascii="Hiragino Sans" w:hAnsi="Hiragino Sans"/>
                <w:b w:val="0"/>
                <w:sz w:val="18"/>
              </w:rPr>
              <w:t>適用範囲</w:t>
            </w:r>
          </w:p>
        </w:tc>
        <w:tc>
          <w:tcPr>
            <w:tcW w:type="dxa" w:w="4986"/>
          </w:tcPr>
          <w:p>
            <w:r/>
            <w:r>
              <w:rPr>
                <w:rFonts w:eastAsia="Hiragino Sans" w:ascii="Hiragino Sans" w:hAnsi="Hiragino Sans"/>
                <w:b w:val="0"/>
                <w:sz w:val="18"/>
              </w:rPr>
              <w:t>顧客との契約から生じる収益のうち、役務の提供に係るもの</w:t>
            </w:r>
          </w:p>
        </w:tc>
      </w:tr>
      <w:tr>
        <w:tc>
          <w:tcPr>
            <w:tcW w:type="dxa" w:w="4986"/>
            <w:shd w:val="clear" w:fill="F7F8FA"/>
          </w:tcPr>
          <w:p>
            <w:r/>
            <w:r>
              <w:rPr>
                <w:rFonts w:eastAsia="Hiragino Sans" w:ascii="Hiragino Sans" w:hAnsi="Hiragino Sans"/>
                <w:b w:val="0"/>
                <w:sz w:val="18"/>
              </w:rPr>
              <w:t>準拠する基準</w:t>
            </w:r>
          </w:p>
        </w:tc>
        <w:tc>
          <w:tcPr>
            <w:tcW w:type="dxa" w:w="4986"/>
            <w:shd w:val="clear" w:fill="F7F8FA"/>
          </w:tcPr>
          <w:p>
            <w:r/>
            <w:r>
              <w:rPr>
                <w:rFonts w:eastAsia="Hiragino Sans" w:ascii="Hiragino Sans" w:hAnsi="Hiragino Sans"/>
                <w:b w:val="0"/>
                <w:sz w:val="18"/>
              </w:rPr>
              <w:t>企業会計基準第29号「収益認識に関する会計基準」（2018年3月30日／改正2020年3月31日／最終改正2024年9月13日）、企業会計基準適用指針第30号「収益認識に関する会計基準の適用指針」（同／改正2021年3月26日／最終改正2024年9月13日）</w:t>
            </w:r>
          </w:p>
        </w:tc>
      </w:tr>
      <w:tr>
        <w:tc>
          <w:tcPr>
            <w:tcW w:type="dxa" w:w="4986"/>
          </w:tcPr>
          <w:p>
            <w:r/>
            <w:r>
              <w:rPr>
                <w:rFonts w:eastAsia="Hiragino Sans" w:ascii="Hiragino Sans" w:hAnsi="Hiragino Sans"/>
                <w:b w:val="0"/>
                <w:sz w:val="18"/>
              </w:rPr>
              <w:t>所管</w:t>
            </w:r>
          </w:p>
        </w:tc>
        <w:tc>
          <w:tcPr>
            <w:tcW w:type="dxa" w:w="4986"/>
          </w:tcPr>
          <w:p>
            <w:r/>
            <w:r>
              <w:rPr>
                <w:rFonts w:eastAsia="Hiragino Sans" w:ascii="Hiragino Sans" w:hAnsi="Hiragino Sans"/>
                <w:b w:val="0"/>
                <w:sz w:val="18"/>
              </w:rPr>
              <w:t>経理部（収益認識担当）／承認：経理部長</w:t>
            </w:r>
          </w:p>
        </w:tc>
      </w:tr>
      <w:tr>
        <w:tc>
          <w:tcPr>
            <w:tcW w:type="dxa" w:w="4986"/>
            <w:shd w:val="clear" w:fill="F7F8FA"/>
          </w:tcPr>
          <w:p>
            <w:r/>
            <w:r>
              <w:rPr>
                <w:rFonts w:eastAsia="Hiragino Sans" w:ascii="Hiragino Sans" w:hAnsi="Hiragino Sans"/>
                <w:b w:val="0"/>
                <w:sz w:val="18"/>
              </w:rPr>
              <w:t>作成</w:t>
            </w:r>
          </w:p>
        </w:tc>
        <w:tc>
          <w:tcPr>
            <w:tcW w:type="dxa" w:w="4986"/>
            <w:shd w:val="clear" w:fill="F7F8FA"/>
          </w:tcPr>
          <w:p>
            <w:r/>
            <w:r>
              <w:rPr>
                <w:rFonts w:eastAsia="Hiragino Sans" w:ascii="Hiragino Sans" w:hAnsi="Hiragino Sans"/>
                <w:b w:val="0"/>
                <w:sz w:val="18"/>
              </w:rPr>
              <w:t>cpaai.jp（AI生成ドラフト）</w:t>
            </w:r>
          </w:p>
        </w:tc>
      </w:tr>
      <w:tr>
        <w:tc>
          <w:tcPr>
            <w:tcW w:type="dxa" w:w="4986"/>
          </w:tcPr>
          <w:p>
            <w:r/>
            <w:r>
              <w:rPr>
                <w:rFonts w:eastAsia="Hiragino Sans" w:ascii="Hiragino Sans" w:hAnsi="Hiragino Sans"/>
                <w:b w:val="0"/>
                <w:sz w:val="18"/>
              </w:rPr>
              <w:t>査閲</w:t>
            </w:r>
          </w:p>
        </w:tc>
        <w:tc>
          <w:tcPr>
            <w:tcW w:type="dxa" w:w="4986"/>
          </w:tcPr>
          <w:p>
            <w:r/>
            <w:r>
              <w:rPr>
                <w:rFonts w:eastAsia="Hiragino Sans" w:ascii="Hiragino Sans" w:hAnsi="Hiragino Sans"/>
                <w:b w:val="0"/>
                <w:sz w:val="18"/>
              </w:rPr>
              <w:t>—</w:t>
            </w:r>
          </w:p>
        </w:tc>
      </w:tr>
    </w:tbl>
    <w:p>
      <w:pPr>
        <w:spacing w:after="40"/>
      </w:pPr>
    </w:p>
    <w:p>
      <w:pPr>
        <w:ind w:left="120"/>
        <w:shd w:val="clear" w:fill="F3F4F6"/>
        <w:pBdr>
          <w:left w:val="single" w:sz="18" w:space="6" w:color="24406B"/>
        </w:pBdr>
      </w:pPr>
      <w:r>
        <w:rPr>
          <w:rFonts w:eastAsia="Hiragino Sans" w:ascii="Hiragino Sans" w:hAnsi="Hiragino Sans"/>
          <w:b w:val="0"/>
          <w:i/>
          <w:color w:val="444444"/>
          <w:sz w:val="18"/>
        </w:rPr>
        <w:t>なぜこの方針書が要るか: サービス業は棚卸資産も生産設備も持たないため、会計上の判断が「収益をいつ・いくらで認識するか」と「人件費をどの契約に紐づけるか」にほぼ集約される。収益認識会計基準は判断の枠組みを示すが、自社のどの契約類型がどの型に当たるかは各社が定めなければならない。本書はその当てはめを契約類型ごとに固定し、統制と対応づけるものである。</w:t>
      </w:r>
    </w:p>
    <w:p>
      <w:pPr>
        <w:jc w:val="center"/>
      </w:pPr>
      <w:r>
        <w:t>────────────────────────────────────────</w:t>
      </w:r>
    </w:p>
    <w:p>
      <w:pPr>
        <w:pStyle w:val="Heading1"/>
      </w:pPr>
      <w:r>
        <w:t>第1章　目的及び適用範囲</w:t>
      </w:r>
    </w:p>
    <w:p>
      <w:pPr>
        <w:pStyle w:val="Heading2"/>
      </w:pPr>
      <w:r>
        <w:t>1-1　目的</w:t>
      </w:r>
    </w:p>
    <w:p>
      <w:pPr>
        <w:spacing w:after="80"/>
      </w:pPr>
      <w:r>
        <w:rPr>
          <w:rFonts w:eastAsia="Hiragino Sans" w:ascii="Hiragino Sans" w:hAnsi="Hiragino Sans"/>
          <w:b w:val="0"/>
          <w:i w:val="0"/>
        </w:rPr>
        <w:t>本方針書は、当社が顧客に提供する役務について、履行義務の識別、一定の期間にわたり充足されるか一時点で充足されるかの判定、進捗度の見積り、本人・代理人の区分、変動対価の見積り、契約資産・契約負債の区分、表示及び注記の方法を定め、契約類型ごとの取扱いを統一することを目的とする。</w:t>
      </w:r>
    </w:p>
    <w:p>
      <w:pPr>
        <w:pStyle w:val="Heading2"/>
      </w:pPr>
      <w:r>
        <w:t>1-2　当社の契約類型</w:t>
      </w:r>
    </w:p>
    <w:p>
      <w:pPr>
        <w:spacing w:after="80"/>
      </w:pPr>
      <w:r>
        <w:rPr>
          <w:rFonts w:eastAsia="Hiragino Sans" w:ascii="Hiragino Sans" w:hAnsi="Hiragino Sans"/>
          <w:b w:val="0"/>
          <w:i w:val="0"/>
        </w:rPr>
        <w:t>本方針書は次の6類型に適用する。類型ごとの結論は第3章の判定表による。</w:t>
      </w:r>
    </w:p>
    <w:tbl>
      <w:tblPr>
        <w:tblStyle w:val="TableGrid"/>
        <w:tblW w:type="auto" w:w="0"/>
        <w:jc w:val="center"/>
        <w:tblLayout w:type="autofit"/>
        <w:tblLook w:firstColumn="1" w:firstRow="1" w:lastColumn="0" w:lastRow="0" w:noHBand="0" w:noVBand="1" w:val="04A0"/>
      </w:tblPr>
      <w:tblGrid>
        <w:gridCol w:w="3324"/>
        <w:gridCol w:w="3324"/>
        <w:gridCol w:w="3324"/>
      </w:tblGrid>
      <w:tr>
        <w:tc>
          <w:tcPr>
            <w:tcW w:type="dxa" w:w="3324"/>
            <w:shd w:val="clear" w:fill="24406B"/>
          </w:tcPr>
          <w:p>
            <w:r/>
            <w:r>
              <w:rPr>
                <w:rFonts w:eastAsia="Hiragino Sans" w:ascii="Hiragino Sans" w:hAnsi="Hiragino Sans"/>
                <w:b/>
                <w:color w:val="FFFFFF"/>
                <w:sz w:val="18"/>
              </w:rPr>
              <w:t>類型</w:t>
            </w:r>
          </w:p>
        </w:tc>
        <w:tc>
          <w:tcPr>
            <w:tcW w:type="dxa" w:w="3324"/>
            <w:shd w:val="clear" w:fill="24406B"/>
          </w:tcPr>
          <w:p>
            <w:r/>
            <w:r>
              <w:rPr>
                <w:rFonts w:eastAsia="Hiragino Sans" w:ascii="Hiragino Sans" w:hAnsi="Hiragino Sans"/>
                <w:b/>
                <w:color w:val="FFFFFF"/>
                <w:sz w:val="18"/>
              </w:rPr>
              <w:t>内容</w:t>
            </w:r>
          </w:p>
        </w:tc>
        <w:tc>
          <w:tcPr>
            <w:tcW w:type="dxa" w:w="3324"/>
            <w:shd w:val="clear" w:fill="24406B"/>
          </w:tcPr>
          <w:p>
            <w:r/>
            <w:r>
              <w:rPr>
                <w:rFonts w:eastAsia="Hiragino Sans" w:ascii="Hiragino Sans" w:hAnsi="Hiragino Sans"/>
                <w:b/>
                <w:color w:val="FFFFFF"/>
                <w:sz w:val="18"/>
              </w:rPr>
              <w:t>対価の形</w:t>
            </w:r>
          </w:p>
        </w:tc>
      </w:tr>
      <w:tr>
        <w:tc>
          <w:tcPr>
            <w:tcW w:type="dxa" w:w="3324"/>
          </w:tcPr>
          <w:p>
            <w:r/>
            <w:r>
              <w:rPr>
                <w:rFonts w:eastAsia="Hiragino Sans" w:ascii="Hiragino Sans" w:hAnsi="Hiragino Sans"/>
                <w:b w:val="0"/>
                <w:sz w:val="18"/>
              </w:rPr>
              <w:t>① 業務受託（BPO）</w:t>
            </w:r>
          </w:p>
        </w:tc>
        <w:tc>
          <w:tcPr>
            <w:tcW w:type="dxa" w:w="3324"/>
          </w:tcPr>
          <w:p>
            <w:r/>
            <w:r>
              <w:rPr>
                <w:rFonts w:eastAsia="Hiragino Sans" w:ascii="Hiragino Sans" w:hAnsi="Hiragino Sans"/>
                <w:b w:val="0"/>
                <w:sz w:val="18"/>
              </w:rPr>
              <w:t>経理・人事の定型業務を継続的に受託</w:t>
            </w:r>
          </w:p>
        </w:tc>
        <w:tc>
          <w:tcPr>
            <w:tcW w:type="dxa" w:w="3324"/>
          </w:tcPr>
          <w:p>
            <w:r/>
            <w:r>
              <w:rPr>
                <w:rFonts w:eastAsia="Hiragino Sans" w:ascii="Hiragino Sans" w:hAnsi="Hiragino Sans"/>
                <w:b w:val="0"/>
                <w:sz w:val="18"/>
              </w:rPr>
              <w:t>月額固定＋処理件数に応じた従量</w:t>
            </w:r>
          </w:p>
        </w:tc>
      </w:tr>
      <w:tr>
        <w:tc>
          <w:tcPr>
            <w:tcW w:type="dxa" w:w="3324"/>
            <w:shd w:val="clear" w:fill="F7F8FA"/>
          </w:tcPr>
          <w:p>
            <w:r/>
            <w:r>
              <w:rPr>
                <w:rFonts w:eastAsia="Hiragino Sans" w:ascii="Hiragino Sans" w:hAnsi="Hiragino Sans"/>
                <w:b w:val="0"/>
                <w:sz w:val="18"/>
              </w:rPr>
              <w:t>② コンサルティング（時間単価）</w:t>
            </w:r>
          </w:p>
        </w:tc>
        <w:tc>
          <w:tcPr>
            <w:tcW w:type="dxa" w:w="3324"/>
            <w:shd w:val="clear" w:fill="F7F8FA"/>
          </w:tcPr>
          <w:p>
            <w:r/>
            <w:r>
              <w:rPr>
                <w:rFonts w:eastAsia="Hiragino Sans" w:ascii="Hiragino Sans" w:hAnsi="Hiragino Sans"/>
                <w:b w:val="0"/>
                <w:sz w:val="18"/>
              </w:rPr>
              <w:t>稼働時間に応じて請求</w:t>
            </w:r>
          </w:p>
        </w:tc>
        <w:tc>
          <w:tcPr>
            <w:tcW w:type="dxa" w:w="3324"/>
            <w:shd w:val="clear" w:fill="F7F8FA"/>
          </w:tcPr>
          <w:p>
            <w:r/>
            <w:r>
              <w:rPr>
                <w:rFonts w:eastAsia="Hiragino Sans" w:ascii="Hiragino Sans" w:hAnsi="Hiragino Sans"/>
                <w:b w:val="0"/>
                <w:sz w:val="18"/>
              </w:rPr>
              <w:t>時間単価×稼働時間・月次請求</w:t>
            </w:r>
          </w:p>
        </w:tc>
      </w:tr>
      <w:tr>
        <w:tc>
          <w:tcPr>
            <w:tcW w:type="dxa" w:w="3324"/>
          </w:tcPr>
          <w:p>
            <w:r/>
            <w:r>
              <w:rPr>
                <w:rFonts w:eastAsia="Hiragino Sans" w:ascii="Hiragino Sans" w:hAnsi="Hiragino Sans"/>
                <w:b w:val="0"/>
                <w:sz w:val="18"/>
              </w:rPr>
              <w:t>③ コンサルティング（成果物型）</w:t>
            </w:r>
          </w:p>
        </w:tc>
        <w:tc>
          <w:tcPr>
            <w:tcW w:type="dxa" w:w="3324"/>
          </w:tcPr>
          <w:p>
            <w:r/>
            <w:r>
              <w:rPr>
                <w:rFonts w:eastAsia="Hiragino Sans" w:ascii="Hiragino Sans" w:hAnsi="Hiragino Sans"/>
                <w:b w:val="0"/>
                <w:sz w:val="18"/>
              </w:rPr>
              <w:t>調査報告書等の成果物を納品</w:t>
            </w:r>
          </w:p>
        </w:tc>
        <w:tc>
          <w:tcPr>
            <w:tcW w:type="dxa" w:w="3324"/>
          </w:tcPr>
          <w:p>
            <w:r/>
            <w:r>
              <w:rPr>
                <w:rFonts w:eastAsia="Hiragino Sans" w:ascii="Hiragino Sans" w:hAnsi="Hiragino Sans"/>
                <w:b w:val="0"/>
                <w:sz w:val="18"/>
              </w:rPr>
              <w:t>一括固定・検収時請求</w:t>
            </w:r>
          </w:p>
        </w:tc>
      </w:tr>
      <w:tr>
        <w:tc>
          <w:tcPr>
            <w:tcW w:type="dxa" w:w="3324"/>
            <w:shd w:val="clear" w:fill="F7F8FA"/>
          </w:tcPr>
          <w:p>
            <w:r/>
            <w:r>
              <w:rPr>
                <w:rFonts w:eastAsia="Hiragino Sans" w:ascii="Hiragino Sans" w:hAnsi="Hiragino Sans"/>
                <w:b w:val="0"/>
                <w:sz w:val="18"/>
              </w:rPr>
              <w:t>④ 保守運用</w:t>
            </w:r>
          </w:p>
        </w:tc>
        <w:tc>
          <w:tcPr>
            <w:tcW w:type="dxa" w:w="3324"/>
            <w:shd w:val="clear" w:fill="F7F8FA"/>
          </w:tcPr>
          <w:p>
            <w:r/>
            <w:r>
              <w:rPr>
                <w:rFonts w:eastAsia="Hiragino Sans" w:ascii="Hiragino Sans" w:hAnsi="Hiragino Sans"/>
                <w:b w:val="0"/>
                <w:sz w:val="18"/>
              </w:rPr>
              <w:t>障害対応・問合せ対応を期間で提供</w:t>
            </w:r>
          </w:p>
        </w:tc>
        <w:tc>
          <w:tcPr>
            <w:tcW w:type="dxa" w:w="3324"/>
            <w:shd w:val="clear" w:fill="F7F8FA"/>
          </w:tcPr>
          <w:p>
            <w:r/>
            <w:r>
              <w:rPr>
                <w:rFonts w:eastAsia="Hiragino Sans" w:ascii="Hiragino Sans" w:hAnsi="Hiragino Sans"/>
                <w:b w:val="0"/>
                <w:sz w:val="18"/>
              </w:rPr>
              <w:t>年額前払</w:t>
            </w:r>
          </w:p>
        </w:tc>
      </w:tr>
      <w:tr>
        <w:tc>
          <w:tcPr>
            <w:tcW w:type="dxa" w:w="3324"/>
          </w:tcPr>
          <w:p>
            <w:r/>
            <w:r>
              <w:rPr>
                <w:rFonts w:eastAsia="Hiragino Sans" w:ascii="Hiragino Sans" w:hAnsi="Hiragino Sans"/>
                <w:b w:val="0"/>
                <w:sz w:val="18"/>
              </w:rPr>
              <w:t>⑤ 人材紹介</w:t>
            </w:r>
          </w:p>
        </w:tc>
        <w:tc>
          <w:tcPr>
            <w:tcW w:type="dxa" w:w="3324"/>
          </w:tcPr>
          <w:p>
            <w:r/>
            <w:r>
              <w:rPr>
                <w:rFonts w:eastAsia="Hiragino Sans" w:ascii="Hiragino Sans" w:hAnsi="Hiragino Sans"/>
                <w:b w:val="0"/>
                <w:sz w:val="18"/>
              </w:rPr>
              <w:t>求職者の紹介・入社成立で手数料</w:t>
            </w:r>
          </w:p>
        </w:tc>
        <w:tc>
          <w:tcPr>
            <w:tcW w:type="dxa" w:w="3324"/>
          </w:tcPr>
          <w:p>
            <w:r/>
            <w:r>
              <w:rPr>
                <w:rFonts w:eastAsia="Hiragino Sans" w:ascii="Hiragino Sans" w:hAnsi="Hiragino Sans"/>
                <w:b w:val="0"/>
                <w:sz w:val="18"/>
              </w:rPr>
              <w:t>入社時に一括・早期離職時は返金</w:t>
            </w:r>
          </w:p>
        </w:tc>
      </w:tr>
      <w:tr>
        <w:tc>
          <w:tcPr>
            <w:tcW w:type="dxa" w:w="3324"/>
            <w:shd w:val="clear" w:fill="F7F8FA"/>
          </w:tcPr>
          <w:p>
            <w:r/>
            <w:r>
              <w:rPr>
                <w:rFonts w:eastAsia="Hiragino Sans" w:ascii="Hiragino Sans" w:hAnsi="Hiragino Sans"/>
                <w:b w:val="0"/>
                <w:sz w:val="18"/>
              </w:rPr>
              <w:t>⑥ 提携先研修の取次</w:t>
            </w:r>
          </w:p>
        </w:tc>
        <w:tc>
          <w:tcPr>
            <w:tcW w:type="dxa" w:w="3324"/>
            <w:shd w:val="clear" w:fill="F7F8FA"/>
          </w:tcPr>
          <w:p>
            <w:r/>
            <w:r>
              <w:rPr>
                <w:rFonts w:eastAsia="Hiragino Sans" w:ascii="Hiragino Sans" w:hAnsi="Hiragino Sans"/>
                <w:b w:val="0"/>
                <w:sz w:val="18"/>
              </w:rPr>
              <w:t>提携先が提供する研修の申込みを取り次ぐ</w:t>
            </w:r>
          </w:p>
        </w:tc>
        <w:tc>
          <w:tcPr>
            <w:tcW w:type="dxa" w:w="3324"/>
            <w:shd w:val="clear" w:fill="F7F8FA"/>
          </w:tcPr>
          <w:p>
            <w:r/>
            <w:r>
              <w:rPr>
                <w:rFonts w:eastAsia="Hiragino Sans" w:ascii="Hiragino Sans" w:hAnsi="Hiragino Sans"/>
                <w:b w:val="0"/>
                <w:sz w:val="18"/>
              </w:rPr>
              <w:t>取次手数料（純額）</w:t>
            </w:r>
          </w:p>
        </w:tc>
      </w:tr>
    </w:tbl>
    <w:p>
      <w:pPr>
        <w:spacing w:after="40"/>
      </w:pPr>
    </w:p>
    <w:p>
      <w:pPr>
        <w:pStyle w:val="Heading2"/>
      </w:pPr>
      <w:r>
        <w:t>1-3　適用しない取引</w:t>
      </w:r>
    </w:p>
    <w:p>
      <w:pPr>
        <w:pStyle w:val="ListBullet"/>
        <w:ind w:left="240"/>
      </w:pPr>
      <w:r>
        <w:rPr>
          <w:rFonts w:eastAsia="Hiragino Sans" w:ascii="Hiragino Sans" w:hAnsi="Hiragino Sans"/>
          <w:b w:val="0"/>
          <w:sz w:val="20"/>
        </w:rPr>
        <w:t>金融商品・リースなど、他の会計基準に定めのある取引（本会計基準 第3項）</w:t>
      </w:r>
    </w:p>
    <w:p>
      <w:pPr>
        <w:pStyle w:val="ListBullet"/>
        <w:ind w:left="240"/>
      </w:pPr>
      <w:r>
        <w:rPr>
          <w:rFonts w:eastAsia="Hiragino Sans" w:ascii="Hiragino Sans" w:hAnsi="Hiragino Sans"/>
          <w:b w:val="0"/>
          <w:sz w:val="20"/>
        </w:rPr>
        <w:t>物品の販売に係る収益（当社では付随的であり、重要性が乏しいため本方針書の対象外とする）</w:t>
      </w:r>
    </w:p>
    <w:p>
      <w:pPr>
        <w:ind w:left="120"/>
        <w:shd w:val="clear" w:fill="F3F4F6"/>
        <w:pBdr>
          <w:left w:val="single" w:sz="18" w:space="6" w:color="24406B"/>
        </w:pBdr>
      </w:pPr>
      <w:r>
        <w:rPr>
          <w:rFonts w:eastAsia="Hiragino Sans" w:ascii="Hiragino Sans" w:hAnsi="Hiragino Sans"/>
          <w:b w:val="0"/>
          <w:i/>
          <w:color w:val="444444"/>
          <w:sz w:val="18"/>
        </w:rPr>
        <w:t>チェック観点: 自社の契約類型を漏れなく挙げているか。挙げていない類型が生じたら、収益を計上する前に本方針書へ追加すること。</w:t>
      </w:r>
    </w:p>
    <w:p>
      <w:pPr>
        <w:jc w:val="center"/>
      </w:pPr>
      <w:r>
        <w:t>────────────────────────────────────────</w:t>
      </w:r>
    </w:p>
    <w:p>
      <w:pPr>
        <w:pStyle w:val="Heading1"/>
      </w:pPr>
      <w:r>
        <w:t>第2章　5つのステップと当社の運用</w:t>
      </w:r>
    </w:p>
    <w:p>
      <w:pPr>
        <w:spacing w:after="80"/>
      </w:pPr>
      <w:r>
        <w:rPr>
          <w:rFonts w:eastAsia="Hiragino Sans" w:ascii="Hiragino Sans" w:hAnsi="Hiragino Sans"/>
          <w:b w:val="0"/>
          <w:i w:val="0"/>
        </w:rPr>
        <w:t>本会計基準は、約束した財又はサービスの移転と交換に、企業が権利を得ると見込む対価の額で収益を認識することを基本原則とし（第16項）、次の5つのステップを適用する（第17項）。</w:t>
      </w:r>
    </w:p>
    <w:tbl>
      <w:tblPr>
        <w:tblStyle w:val="TableGrid"/>
        <w:tblW w:type="auto" w:w="0"/>
        <w:jc w:val="center"/>
        <w:tblLayout w:type="autofit"/>
        <w:tblLook w:firstColumn="1" w:firstRow="1" w:lastColumn="0" w:lastRow="0" w:noHBand="0" w:noVBand="1" w:val="04A0"/>
      </w:tblPr>
      <w:tblGrid>
        <w:gridCol w:w="2493"/>
        <w:gridCol w:w="2493"/>
        <w:gridCol w:w="2493"/>
        <w:gridCol w:w="2493"/>
      </w:tblGrid>
      <w:tr>
        <w:tc>
          <w:tcPr>
            <w:tcW w:type="dxa" w:w="2493"/>
            <w:shd w:val="clear" w:fill="24406B"/>
          </w:tcPr>
          <w:p>
            <w:r/>
            <w:r>
              <w:rPr>
                <w:rFonts w:eastAsia="Hiragino Sans" w:ascii="Hiragino Sans" w:hAnsi="Hiragino Sans"/>
                <w:b/>
                <w:color w:val="FFFFFF"/>
                <w:sz w:val="18"/>
              </w:rPr>
              <w:t>ステップ</w:t>
            </w:r>
          </w:p>
        </w:tc>
        <w:tc>
          <w:tcPr>
            <w:tcW w:type="dxa" w:w="2493"/>
            <w:shd w:val="clear" w:fill="24406B"/>
          </w:tcPr>
          <w:p>
            <w:r/>
            <w:r>
              <w:rPr>
                <w:rFonts w:eastAsia="Hiragino Sans" w:ascii="Hiragino Sans" w:hAnsi="Hiragino Sans"/>
                <w:b/>
                <w:color w:val="FFFFFF"/>
                <w:sz w:val="18"/>
              </w:rPr>
              <w:t>内容</w:t>
            </w:r>
          </w:p>
        </w:tc>
        <w:tc>
          <w:tcPr>
            <w:tcW w:type="dxa" w:w="2493"/>
            <w:shd w:val="clear" w:fill="24406B"/>
          </w:tcPr>
          <w:p>
            <w:r/>
            <w:r>
              <w:rPr>
                <w:rFonts w:eastAsia="Hiragino Sans" w:ascii="Hiragino Sans" w:hAnsi="Hiragino Sans"/>
                <w:b/>
                <w:color w:val="FFFFFF"/>
                <w:sz w:val="18"/>
              </w:rPr>
              <w:t>根拠</w:t>
            </w:r>
          </w:p>
        </w:tc>
        <w:tc>
          <w:tcPr>
            <w:tcW w:type="dxa" w:w="2493"/>
            <w:shd w:val="clear" w:fill="24406B"/>
          </w:tcPr>
          <w:p>
            <w:r/>
            <w:r>
              <w:rPr>
                <w:rFonts w:eastAsia="Hiragino Sans" w:ascii="Hiragino Sans" w:hAnsi="Hiragino Sans"/>
                <w:b/>
                <w:color w:val="FFFFFF"/>
                <w:sz w:val="18"/>
              </w:rPr>
              <w:t>当社の運用</w:t>
            </w:r>
          </w:p>
        </w:tc>
      </w:tr>
      <w:tr>
        <w:tc>
          <w:tcPr>
            <w:tcW w:type="dxa" w:w="2493"/>
          </w:tcPr>
          <w:p>
            <w:r/>
            <w:r>
              <w:rPr>
                <w:rFonts w:eastAsia="Hiragino Sans" w:ascii="Hiragino Sans" w:hAnsi="Hiragino Sans"/>
                <w:b w:val="0"/>
                <w:sz w:val="18"/>
              </w:rPr>
              <w:t>①</w:t>
            </w:r>
          </w:p>
        </w:tc>
        <w:tc>
          <w:tcPr>
            <w:tcW w:type="dxa" w:w="2493"/>
          </w:tcPr>
          <w:p>
            <w:r/>
            <w:r>
              <w:rPr>
                <w:rFonts w:eastAsia="Hiragino Sans" w:ascii="Hiragino Sans" w:hAnsi="Hiragino Sans"/>
                <w:b w:val="0"/>
                <w:sz w:val="18"/>
              </w:rPr>
              <w:t>顧客との契約を識別する</w:t>
            </w:r>
          </w:p>
        </w:tc>
        <w:tc>
          <w:tcPr>
            <w:tcW w:type="dxa" w:w="2493"/>
          </w:tcPr>
          <w:p>
            <w:r/>
            <w:r>
              <w:rPr>
                <w:rFonts w:eastAsia="Hiragino Sans" w:ascii="Hiragino Sans" w:hAnsi="Hiragino Sans"/>
                <w:b w:val="0"/>
                <w:sz w:val="18"/>
              </w:rPr>
              <w:t>第19項〜第31項</w:t>
            </w:r>
          </w:p>
        </w:tc>
        <w:tc>
          <w:tcPr>
            <w:tcW w:type="dxa" w:w="2493"/>
          </w:tcPr>
          <w:p>
            <w:r/>
            <w:r>
              <w:rPr>
                <w:rFonts w:eastAsia="Hiragino Sans" w:ascii="Hiragino Sans" w:hAnsi="Hiragino Sans"/>
                <w:b w:val="0"/>
                <w:sz w:val="18"/>
              </w:rPr>
              <w:t>契約書・注文書・稟議の3点で識別。口頭合意のみでは収益を計上しない</w:t>
            </w:r>
          </w:p>
        </w:tc>
      </w:tr>
      <w:tr>
        <w:tc>
          <w:tcPr>
            <w:tcW w:type="dxa" w:w="2493"/>
            <w:shd w:val="clear" w:fill="F7F8FA"/>
          </w:tcPr>
          <w:p>
            <w:r/>
            <w:r>
              <w:rPr>
                <w:rFonts w:eastAsia="Hiragino Sans" w:ascii="Hiragino Sans" w:hAnsi="Hiragino Sans"/>
                <w:b w:val="0"/>
                <w:sz w:val="18"/>
              </w:rPr>
              <w:t>②</w:t>
            </w:r>
          </w:p>
        </w:tc>
        <w:tc>
          <w:tcPr>
            <w:tcW w:type="dxa" w:w="2493"/>
            <w:shd w:val="clear" w:fill="F7F8FA"/>
          </w:tcPr>
          <w:p>
            <w:r/>
            <w:r>
              <w:rPr>
                <w:rFonts w:eastAsia="Hiragino Sans" w:ascii="Hiragino Sans" w:hAnsi="Hiragino Sans"/>
                <w:b w:val="0"/>
                <w:sz w:val="18"/>
              </w:rPr>
              <w:t>契約における履行義務を識別する</w:t>
            </w:r>
          </w:p>
        </w:tc>
        <w:tc>
          <w:tcPr>
            <w:tcW w:type="dxa" w:w="2493"/>
            <w:shd w:val="clear" w:fill="F7F8FA"/>
          </w:tcPr>
          <w:p>
            <w:r/>
            <w:r>
              <w:rPr>
                <w:rFonts w:eastAsia="Hiragino Sans" w:ascii="Hiragino Sans" w:hAnsi="Hiragino Sans"/>
                <w:b w:val="0"/>
                <w:sz w:val="18"/>
              </w:rPr>
              <w:t>第32項〜第34項</w:t>
            </w:r>
          </w:p>
        </w:tc>
        <w:tc>
          <w:tcPr>
            <w:tcW w:type="dxa" w:w="2493"/>
            <w:shd w:val="clear" w:fill="F7F8FA"/>
          </w:tcPr>
          <w:p>
            <w:r/>
            <w:r>
              <w:rPr>
                <w:rFonts w:eastAsia="Hiragino Sans" w:ascii="Hiragino Sans" w:hAnsi="Hiragino Sans"/>
                <w:b w:val="0"/>
                <w:sz w:val="18"/>
              </w:rPr>
              <w:t>契約類型ごとに第3章の判定表で固定</w:t>
            </w:r>
          </w:p>
        </w:tc>
      </w:tr>
      <w:tr>
        <w:tc>
          <w:tcPr>
            <w:tcW w:type="dxa" w:w="2493"/>
          </w:tcPr>
          <w:p>
            <w:r/>
            <w:r>
              <w:rPr>
                <w:rFonts w:eastAsia="Hiragino Sans" w:ascii="Hiragino Sans" w:hAnsi="Hiragino Sans"/>
                <w:b w:val="0"/>
                <w:sz w:val="18"/>
              </w:rPr>
              <w:t>③</w:t>
            </w:r>
          </w:p>
        </w:tc>
        <w:tc>
          <w:tcPr>
            <w:tcW w:type="dxa" w:w="2493"/>
          </w:tcPr>
          <w:p>
            <w:r/>
            <w:r>
              <w:rPr>
                <w:rFonts w:eastAsia="Hiragino Sans" w:ascii="Hiragino Sans" w:hAnsi="Hiragino Sans"/>
                <w:b w:val="0"/>
                <w:sz w:val="18"/>
              </w:rPr>
              <w:t>取引価格を算定する</w:t>
            </w:r>
          </w:p>
        </w:tc>
        <w:tc>
          <w:tcPr>
            <w:tcW w:type="dxa" w:w="2493"/>
          </w:tcPr>
          <w:p>
            <w:r/>
            <w:r>
              <w:rPr>
                <w:rFonts w:eastAsia="Hiragino Sans" w:ascii="Hiragino Sans" w:hAnsi="Hiragino Sans"/>
                <w:b w:val="0"/>
                <w:sz w:val="18"/>
              </w:rPr>
              <w:t>第47項〜第64項</w:t>
            </w:r>
          </w:p>
        </w:tc>
        <w:tc>
          <w:tcPr>
            <w:tcW w:type="dxa" w:w="2493"/>
          </w:tcPr>
          <w:p>
            <w:r/>
            <w:r>
              <w:rPr>
                <w:rFonts w:eastAsia="Hiragino Sans" w:ascii="Hiragino Sans" w:hAnsi="Hiragino Sans"/>
                <w:b w:val="0"/>
                <w:sz w:val="18"/>
              </w:rPr>
              <w:t>変動対価は第6章による</w:t>
            </w:r>
          </w:p>
        </w:tc>
      </w:tr>
      <w:tr>
        <w:tc>
          <w:tcPr>
            <w:tcW w:type="dxa" w:w="2493"/>
            <w:shd w:val="clear" w:fill="F7F8FA"/>
          </w:tcPr>
          <w:p>
            <w:r/>
            <w:r>
              <w:rPr>
                <w:rFonts w:eastAsia="Hiragino Sans" w:ascii="Hiragino Sans" w:hAnsi="Hiragino Sans"/>
                <w:b w:val="0"/>
                <w:sz w:val="18"/>
              </w:rPr>
              <w:t>④</w:t>
            </w:r>
          </w:p>
        </w:tc>
        <w:tc>
          <w:tcPr>
            <w:tcW w:type="dxa" w:w="2493"/>
            <w:shd w:val="clear" w:fill="F7F8FA"/>
          </w:tcPr>
          <w:p>
            <w:r/>
            <w:r>
              <w:rPr>
                <w:rFonts w:eastAsia="Hiragino Sans" w:ascii="Hiragino Sans" w:hAnsi="Hiragino Sans"/>
                <w:b w:val="0"/>
                <w:sz w:val="18"/>
              </w:rPr>
              <w:t>履行義務に取引価格を配分する</w:t>
            </w:r>
          </w:p>
        </w:tc>
        <w:tc>
          <w:tcPr>
            <w:tcW w:type="dxa" w:w="2493"/>
            <w:shd w:val="clear" w:fill="F7F8FA"/>
          </w:tcPr>
          <w:p>
            <w:r/>
            <w:r>
              <w:rPr>
                <w:rFonts w:eastAsia="Hiragino Sans" w:ascii="Hiragino Sans" w:hAnsi="Hiragino Sans"/>
                <w:b w:val="0"/>
                <w:sz w:val="18"/>
              </w:rPr>
              <w:t>第65項〜第76項</w:t>
            </w:r>
          </w:p>
        </w:tc>
        <w:tc>
          <w:tcPr>
            <w:tcW w:type="dxa" w:w="2493"/>
            <w:shd w:val="clear" w:fill="F7F8FA"/>
          </w:tcPr>
          <w:p>
            <w:r/>
            <w:r>
              <w:rPr>
                <w:rFonts w:eastAsia="Hiragino Sans" w:ascii="Hiragino Sans" w:hAnsi="Hiragino Sans"/>
                <w:b w:val="0"/>
                <w:sz w:val="18"/>
              </w:rPr>
              <w:t>独立販売価格（標準単価表）に基づき配分</w:t>
            </w:r>
          </w:p>
        </w:tc>
      </w:tr>
      <w:tr>
        <w:tc>
          <w:tcPr>
            <w:tcW w:type="dxa" w:w="2493"/>
          </w:tcPr>
          <w:p>
            <w:r/>
            <w:r>
              <w:rPr>
                <w:rFonts w:eastAsia="Hiragino Sans" w:ascii="Hiragino Sans" w:hAnsi="Hiragino Sans"/>
                <w:b w:val="0"/>
                <w:sz w:val="18"/>
              </w:rPr>
              <w:t>⑤</w:t>
            </w:r>
          </w:p>
        </w:tc>
        <w:tc>
          <w:tcPr>
            <w:tcW w:type="dxa" w:w="2493"/>
          </w:tcPr>
          <w:p>
            <w:r/>
            <w:r>
              <w:rPr>
                <w:rFonts w:eastAsia="Hiragino Sans" w:ascii="Hiragino Sans" w:hAnsi="Hiragino Sans"/>
                <w:b w:val="0"/>
                <w:sz w:val="18"/>
              </w:rPr>
              <w:t>履行義務の充足時に収益を認識する</w:t>
            </w:r>
          </w:p>
        </w:tc>
        <w:tc>
          <w:tcPr>
            <w:tcW w:type="dxa" w:w="2493"/>
          </w:tcPr>
          <w:p>
            <w:r/>
            <w:r>
              <w:rPr>
                <w:rFonts w:eastAsia="Hiragino Sans" w:ascii="Hiragino Sans" w:hAnsi="Hiragino Sans"/>
                <w:b w:val="0"/>
                <w:sz w:val="18"/>
              </w:rPr>
              <w:t>第35項〜第45項</w:t>
            </w:r>
          </w:p>
        </w:tc>
        <w:tc>
          <w:tcPr>
            <w:tcW w:type="dxa" w:w="2493"/>
          </w:tcPr>
          <w:p>
            <w:r/>
            <w:r>
              <w:rPr>
                <w:rFonts w:eastAsia="Hiragino Sans" w:ascii="Hiragino Sans" w:hAnsi="Hiragino Sans"/>
                <w:b w:val="0"/>
                <w:sz w:val="18"/>
              </w:rPr>
              <w:t>第3章・第4章による</w:t>
            </w:r>
          </w:p>
        </w:tc>
      </w:tr>
    </w:tbl>
    <w:p>
      <w:pPr>
        <w:spacing w:after="40"/>
      </w:pPr>
    </w:p>
    <w:p>
      <w:pPr>
        <w:jc w:val="center"/>
      </w:pPr>
      <w:r>
        <w:t>────────────────────────────────────────</w:t>
      </w:r>
    </w:p>
    <w:p>
      <w:pPr>
        <w:pStyle w:val="Heading1"/>
      </w:pPr>
      <w:r>
        <w:t>第3章　一定の期間か、一時点か</w:t>
      </w:r>
    </w:p>
    <w:p>
      <w:pPr>
        <w:pStyle w:val="Heading2"/>
      </w:pPr>
      <w:r>
        <w:t>3-1　判定の枠組み</w:t>
      </w:r>
    </w:p>
    <w:p>
      <w:pPr>
        <w:spacing w:after="80"/>
      </w:pPr>
      <w:r>
        <w:rPr>
          <w:rFonts w:eastAsia="Hiragino Sans" w:ascii="Hiragino Sans" w:hAnsi="Hiragino Sans"/>
          <w:b w:val="0"/>
          <w:i w:val="0"/>
        </w:rPr>
        <w:t>次の3要件の</w:t>
      </w:r>
      <w:r>
        <w:rPr>
          <w:rFonts w:eastAsia="Hiragino Sans" w:ascii="Hiragino Sans" w:hAnsi="Hiragino Sans"/>
          <w:b/>
          <w:i w:val="0"/>
        </w:rPr>
        <w:t>いずれか</w:t>
      </w:r>
      <w:r>
        <w:rPr>
          <w:rFonts w:eastAsia="Hiragino Sans" w:ascii="Hiragino Sans" w:hAnsi="Hiragino Sans"/>
          <w:b w:val="0"/>
          <w:i w:val="0"/>
        </w:rPr>
        <w:t>を満たす場合、一定の期間にわたり充足される履行義務として、進捗度に応じて収益を認識する（第38項）。いずれも満たさない場合は、一時点で充足される履行義務として、資産に対する支配（第37項）が顧客に移転した時に収益を認識する（第39項）。</w:t>
      </w:r>
    </w:p>
    <w:tbl>
      <w:tblPr>
        <w:tblStyle w:val="TableGrid"/>
        <w:tblW w:type="auto" w:w="0"/>
        <w:jc w:val="center"/>
        <w:tblLayout w:type="autofit"/>
        <w:tblLook w:firstColumn="1" w:firstRow="1" w:lastColumn="0" w:lastRow="0" w:noHBand="0" w:noVBand="1" w:val="04A0"/>
      </w:tblPr>
      <w:tblGrid>
        <w:gridCol w:w="2493"/>
        <w:gridCol w:w="2493"/>
        <w:gridCol w:w="2493"/>
        <w:gridCol w:w="2493"/>
      </w:tblGrid>
      <w:tr>
        <w:tc>
          <w:tcPr>
            <w:tcW w:type="dxa" w:w="2493"/>
            <w:shd w:val="clear" w:fill="24406B"/>
          </w:tcPr>
          <w:p>
            <w:r/>
            <w:r>
              <w:rPr>
                <w:rFonts w:eastAsia="Hiragino Sans" w:ascii="Hiragino Sans" w:hAnsi="Hiragino Sans"/>
                <w:b/>
                <w:color w:val="FFFFFF"/>
                <w:sz w:val="18"/>
              </w:rPr>
              <w:t>#</w:t>
            </w:r>
          </w:p>
        </w:tc>
        <w:tc>
          <w:tcPr>
            <w:tcW w:type="dxa" w:w="2493"/>
            <w:shd w:val="clear" w:fill="24406B"/>
          </w:tcPr>
          <w:p>
            <w:r/>
            <w:r>
              <w:rPr>
                <w:rFonts w:eastAsia="Hiragino Sans" w:ascii="Hiragino Sans" w:hAnsi="Hiragino Sans"/>
                <w:b/>
                <w:color w:val="FFFFFF"/>
                <w:sz w:val="18"/>
              </w:rPr>
              <w:t>要件</w:t>
            </w:r>
          </w:p>
        </w:tc>
        <w:tc>
          <w:tcPr>
            <w:tcW w:type="dxa" w:w="2493"/>
            <w:shd w:val="clear" w:fill="24406B"/>
          </w:tcPr>
          <w:p>
            <w:r/>
            <w:r>
              <w:rPr>
                <w:rFonts w:eastAsia="Hiragino Sans" w:ascii="Hiragino Sans" w:hAnsi="Hiragino Sans"/>
                <w:b/>
                <w:color w:val="FFFFFF"/>
                <w:sz w:val="18"/>
              </w:rPr>
              <w:t>根拠</w:t>
            </w:r>
          </w:p>
        </w:tc>
        <w:tc>
          <w:tcPr>
            <w:tcW w:type="dxa" w:w="2493"/>
            <w:shd w:val="clear" w:fill="24406B"/>
          </w:tcPr>
          <w:p>
            <w:r/>
            <w:r>
              <w:rPr>
                <w:rFonts w:eastAsia="Hiragino Sans" w:ascii="Hiragino Sans" w:hAnsi="Hiragino Sans"/>
                <w:b/>
                <w:color w:val="FFFFFF"/>
                <w:sz w:val="18"/>
              </w:rPr>
              <w:t>補足</w:t>
            </w:r>
          </w:p>
        </w:tc>
      </w:tr>
      <w:tr>
        <w:tc>
          <w:tcPr>
            <w:tcW w:type="dxa" w:w="2493"/>
          </w:tcPr>
          <w:p>
            <w:r/>
            <w:r>
              <w:rPr>
                <w:rFonts w:eastAsia="Hiragino Sans" w:ascii="Hiragino Sans" w:hAnsi="Hiragino Sans"/>
                <w:b w:val="0"/>
                <w:sz w:val="18"/>
              </w:rPr>
              <w:t>(1)</w:t>
            </w:r>
          </w:p>
        </w:tc>
        <w:tc>
          <w:tcPr>
            <w:tcW w:type="dxa" w:w="2493"/>
          </w:tcPr>
          <w:p>
            <w:r/>
            <w:r>
              <w:rPr>
                <w:rFonts w:eastAsia="Hiragino Sans" w:ascii="Hiragino Sans" w:hAnsi="Hiragino Sans"/>
                <w:b w:val="0"/>
                <w:sz w:val="18"/>
              </w:rPr>
              <w:t>企業が義務を履行するにつれて、顧客が便益を享受する</w:t>
            </w:r>
          </w:p>
        </w:tc>
        <w:tc>
          <w:tcPr>
            <w:tcW w:type="dxa" w:w="2493"/>
          </w:tcPr>
          <w:p>
            <w:r/>
            <w:r>
              <w:rPr>
                <w:rFonts w:eastAsia="Hiragino Sans" w:ascii="Hiragino Sans" w:hAnsi="Hiragino Sans"/>
                <w:b w:val="0"/>
                <w:sz w:val="18"/>
              </w:rPr>
              <w:t>第38項(1)</w:t>
            </w:r>
          </w:p>
        </w:tc>
        <w:tc>
          <w:tcPr>
            <w:tcW w:type="dxa" w:w="2493"/>
          </w:tcPr>
          <w:p>
            <w:r/>
            <w:r>
              <w:rPr>
                <w:rFonts w:eastAsia="Hiragino Sans" w:ascii="Hiragino Sans" w:hAnsi="Hiragino Sans"/>
                <w:b w:val="0"/>
                <w:sz w:val="18"/>
              </w:rPr>
              <w:t>他の企業が残存履行義務を充足する場合に、現在までに完了した作業を大幅にやり直す必要がないときは、便益を享受するものとする（適用指針 第9項）</w:t>
            </w:r>
          </w:p>
        </w:tc>
      </w:tr>
      <w:tr>
        <w:tc>
          <w:tcPr>
            <w:tcW w:type="dxa" w:w="2493"/>
            <w:shd w:val="clear" w:fill="F7F8FA"/>
          </w:tcPr>
          <w:p>
            <w:r/>
            <w:r>
              <w:rPr>
                <w:rFonts w:eastAsia="Hiragino Sans" w:ascii="Hiragino Sans" w:hAnsi="Hiragino Sans"/>
                <w:b w:val="0"/>
                <w:sz w:val="18"/>
              </w:rPr>
              <w:t>(2)</w:t>
            </w:r>
          </w:p>
        </w:tc>
        <w:tc>
          <w:tcPr>
            <w:tcW w:type="dxa" w:w="2493"/>
            <w:shd w:val="clear" w:fill="F7F8FA"/>
          </w:tcPr>
          <w:p>
            <w:r/>
            <w:r>
              <w:rPr>
                <w:rFonts w:eastAsia="Hiragino Sans" w:ascii="Hiragino Sans" w:hAnsi="Hiragino Sans"/>
                <w:b w:val="0"/>
                <w:sz w:val="18"/>
              </w:rPr>
              <w:t>企業の履行により資産が生じる又は資産の価値が増加し、その資産を顧客が支配する</w:t>
            </w:r>
          </w:p>
        </w:tc>
        <w:tc>
          <w:tcPr>
            <w:tcW w:type="dxa" w:w="2493"/>
            <w:shd w:val="clear" w:fill="F7F8FA"/>
          </w:tcPr>
          <w:p>
            <w:r/>
            <w:r>
              <w:rPr>
                <w:rFonts w:eastAsia="Hiragino Sans" w:ascii="Hiragino Sans" w:hAnsi="Hiragino Sans"/>
                <w:b w:val="0"/>
                <w:sz w:val="18"/>
              </w:rPr>
              <w:t>第38項(2)</w:t>
            </w:r>
          </w:p>
        </w:tc>
        <w:tc>
          <w:tcPr>
            <w:tcW w:type="dxa" w:w="2493"/>
            <w:shd w:val="clear" w:fill="F7F8FA"/>
          </w:tcPr>
          <w:p>
            <w:r/>
            <w:r>
              <w:rPr>
                <w:rFonts w:eastAsia="Hiragino Sans" w:ascii="Hiragino Sans" w:hAnsi="Hiragino Sans"/>
                <w:b w:val="0"/>
                <w:sz w:val="18"/>
              </w:rPr>
              <w:t>—</w:t>
            </w:r>
          </w:p>
        </w:tc>
      </w:tr>
      <w:tr>
        <w:tc>
          <w:tcPr>
            <w:tcW w:type="dxa" w:w="2493"/>
          </w:tcPr>
          <w:p>
            <w:r/>
            <w:r>
              <w:rPr>
                <w:rFonts w:eastAsia="Hiragino Sans" w:ascii="Hiragino Sans" w:hAnsi="Hiragino Sans"/>
                <w:b w:val="0"/>
                <w:sz w:val="18"/>
              </w:rPr>
              <w:t>(3)</w:t>
            </w:r>
          </w:p>
        </w:tc>
        <w:tc>
          <w:tcPr>
            <w:tcW w:type="dxa" w:w="2493"/>
          </w:tcPr>
          <w:p>
            <w:r/>
            <w:r>
              <w:rPr>
                <w:rFonts w:eastAsia="Hiragino Sans" w:ascii="Hiragino Sans" w:hAnsi="Hiragino Sans"/>
                <w:b w:val="0"/>
                <w:sz w:val="18"/>
              </w:rPr>
              <w:t>①別の用途に転用できない資産が生じ、かつ②履行を完了した部分について対価を収受する強制力のある権利を有する</w:t>
            </w:r>
          </w:p>
        </w:tc>
        <w:tc>
          <w:tcPr>
            <w:tcW w:type="dxa" w:w="2493"/>
          </w:tcPr>
          <w:p>
            <w:r/>
            <w:r>
              <w:rPr>
                <w:rFonts w:eastAsia="Hiragino Sans" w:ascii="Hiragino Sans" w:hAnsi="Hiragino Sans"/>
                <w:b w:val="0"/>
                <w:sz w:val="18"/>
              </w:rPr>
              <w:t>第38項(3)</w:t>
            </w:r>
          </w:p>
        </w:tc>
        <w:tc>
          <w:tcPr>
            <w:tcW w:type="dxa" w:w="2493"/>
          </w:tcPr>
          <w:p>
            <w:r/>
            <w:r>
              <w:rPr>
                <w:rFonts w:eastAsia="Hiragino Sans" w:ascii="Hiragino Sans" w:hAnsi="Hiragino Sans"/>
                <w:b w:val="0"/>
                <w:sz w:val="18"/>
              </w:rPr>
              <w:t>①は適用指針 第10項、②は適用指針 第11項〜第13項。補償額は合理的な利益相当額を含む販売価格相当額であることを要する</w:t>
            </w:r>
          </w:p>
        </w:tc>
      </w:tr>
    </w:tbl>
    <w:p>
      <w:pPr>
        <w:spacing w:after="40"/>
      </w:pPr>
    </w:p>
    <w:p>
      <w:pPr>
        <w:spacing w:after="80"/>
      </w:pPr>
      <w:r>
        <w:rPr>
          <w:rFonts w:eastAsia="Hiragino Sans" w:ascii="Hiragino Sans" w:hAnsi="Hiragino Sans"/>
          <w:b w:val="0"/>
          <w:i w:val="0"/>
        </w:rPr>
        <w:t>一時点の判定では、支配の移転を示す次の指標を考慮する（第40項）。①対価を収受する現在の権利、②法的所有権、③物理的占有の移転、④所有に伴う重大なリスクと経済価値、⑤顧客の検収。</w:t>
      </w:r>
    </w:p>
    <w:p>
      <w:pPr>
        <w:pStyle w:val="Heading2"/>
      </w:pPr>
      <w:r>
        <w:t>3-2　当社の契約類型への当てはめ</w:t>
      </w:r>
    </w:p>
    <w:tbl>
      <w:tblPr>
        <w:tblStyle w:val="TableGrid"/>
        <w:tblW w:type="auto" w:w="0"/>
        <w:jc w:val="center"/>
        <w:tblLayout w:type="autofit"/>
        <w:tblLook w:firstColumn="1" w:firstRow="1" w:lastColumn="0" w:lastRow="0" w:noHBand="0" w:noVBand="1" w:val="04A0"/>
      </w:tblPr>
      <w:tblGrid>
        <w:gridCol w:w="2493"/>
        <w:gridCol w:w="2493"/>
        <w:gridCol w:w="2493"/>
        <w:gridCol w:w="2493"/>
      </w:tblGrid>
      <w:tr>
        <w:tc>
          <w:tcPr>
            <w:tcW w:type="dxa" w:w="2493"/>
            <w:shd w:val="clear" w:fill="24406B"/>
          </w:tcPr>
          <w:p>
            <w:r/>
            <w:r>
              <w:rPr>
                <w:rFonts w:eastAsia="Hiragino Sans" w:ascii="Hiragino Sans" w:hAnsi="Hiragino Sans"/>
                <w:b/>
                <w:color w:val="FFFFFF"/>
                <w:sz w:val="18"/>
              </w:rPr>
              <w:t>類型</w:t>
            </w:r>
          </w:p>
        </w:tc>
        <w:tc>
          <w:tcPr>
            <w:tcW w:type="dxa" w:w="2493"/>
            <w:shd w:val="clear" w:fill="24406B"/>
          </w:tcPr>
          <w:p>
            <w:r/>
            <w:r>
              <w:rPr>
                <w:rFonts w:eastAsia="Hiragino Sans" w:ascii="Hiragino Sans" w:hAnsi="Hiragino Sans"/>
                <w:b/>
                <w:color w:val="FFFFFF"/>
                <w:sz w:val="18"/>
              </w:rPr>
              <w:t>判定</w:t>
            </w:r>
          </w:p>
        </w:tc>
        <w:tc>
          <w:tcPr>
            <w:tcW w:type="dxa" w:w="2493"/>
            <w:shd w:val="clear" w:fill="24406B"/>
          </w:tcPr>
          <w:p>
            <w:r/>
            <w:r>
              <w:rPr>
                <w:rFonts w:eastAsia="Hiragino Sans" w:ascii="Hiragino Sans" w:hAnsi="Hiragino Sans"/>
                <w:b/>
                <w:color w:val="FFFFFF"/>
                <w:sz w:val="18"/>
              </w:rPr>
              <w:t>根拠となる要件</w:t>
            </w:r>
          </w:p>
        </w:tc>
        <w:tc>
          <w:tcPr>
            <w:tcW w:type="dxa" w:w="2493"/>
            <w:shd w:val="clear" w:fill="24406B"/>
          </w:tcPr>
          <w:p>
            <w:r/>
            <w:r>
              <w:rPr>
                <w:rFonts w:eastAsia="Hiragino Sans" w:ascii="Hiragino Sans" w:hAnsi="Hiragino Sans"/>
                <w:b/>
                <w:color w:val="FFFFFF"/>
                <w:sz w:val="18"/>
              </w:rPr>
              <w:t>収益認識の方法</w:t>
            </w:r>
          </w:p>
        </w:tc>
      </w:tr>
      <w:tr>
        <w:tc>
          <w:tcPr>
            <w:tcW w:type="dxa" w:w="2493"/>
          </w:tcPr>
          <w:p>
            <w:r/>
            <w:r>
              <w:rPr>
                <w:rFonts w:eastAsia="Hiragino Sans" w:ascii="Hiragino Sans" w:hAnsi="Hiragino Sans"/>
                <w:b w:val="0"/>
                <w:sz w:val="18"/>
              </w:rPr>
              <w:t>① 業務受託（BPO）</w:t>
            </w:r>
          </w:p>
        </w:tc>
        <w:tc>
          <w:tcPr>
            <w:tcW w:type="dxa" w:w="2493"/>
          </w:tcPr>
          <w:p>
            <w:r/>
            <w:r>
              <w:rPr>
                <w:rFonts w:eastAsia="Hiragino Sans" w:ascii="Hiragino Sans" w:hAnsi="Hiragino Sans"/>
                <w:b w:val="0"/>
                <w:sz w:val="18"/>
              </w:rPr>
              <w:t>一定の期間</w:t>
            </w:r>
          </w:p>
        </w:tc>
        <w:tc>
          <w:tcPr>
            <w:tcW w:type="dxa" w:w="2493"/>
          </w:tcPr>
          <w:p>
            <w:r/>
            <w:r>
              <w:rPr>
                <w:rFonts w:eastAsia="Hiragino Sans" w:ascii="Hiragino Sans" w:hAnsi="Hiragino Sans"/>
                <w:b w:val="0"/>
                <w:sz w:val="18"/>
              </w:rPr>
              <w:t>第38項(1)。日々の処理を顧客が都度享受し、他社に引き継いでもやり直しを要しない</w:t>
            </w:r>
          </w:p>
        </w:tc>
        <w:tc>
          <w:tcPr>
            <w:tcW w:type="dxa" w:w="2493"/>
          </w:tcPr>
          <w:p>
            <w:r/>
            <w:r>
              <w:rPr>
                <w:rFonts w:eastAsia="Hiragino Sans" w:ascii="Hiragino Sans" w:hAnsi="Hiragino Sans"/>
                <w:b w:val="0"/>
                <w:sz w:val="18"/>
              </w:rPr>
              <w:t>期間の経過（時の経過）に応じて認識</w:t>
            </w:r>
          </w:p>
        </w:tc>
      </w:tr>
      <w:tr>
        <w:tc>
          <w:tcPr>
            <w:tcW w:type="dxa" w:w="2493"/>
            <w:shd w:val="clear" w:fill="F7F8FA"/>
          </w:tcPr>
          <w:p>
            <w:r/>
            <w:r>
              <w:rPr>
                <w:rFonts w:eastAsia="Hiragino Sans" w:ascii="Hiragino Sans" w:hAnsi="Hiragino Sans"/>
                <w:b w:val="0"/>
                <w:sz w:val="18"/>
              </w:rPr>
              <w:t>② コンサルティング（時間単価）</w:t>
            </w:r>
          </w:p>
        </w:tc>
        <w:tc>
          <w:tcPr>
            <w:tcW w:type="dxa" w:w="2493"/>
            <w:shd w:val="clear" w:fill="F7F8FA"/>
          </w:tcPr>
          <w:p>
            <w:r/>
            <w:r>
              <w:rPr>
                <w:rFonts w:eastAsia="Hiragino Sans" w:ascii="Hiragino Sans" w:hAnsi="Hiragino Sans"/>
                <w:b w:val="0"/>
                <w:sz w:val="18"/>
              </w:rPr>
              <w:t>一定の期間</w:t>
            </w:r>
          </w:p>
        </w:tc>
        <w:tc>
          <w:tcPr>
            <w:tcW w:type="dxa" w:w="2493"/>
            <w:shd w:val="clear" w:fill="F7F8FA"/>
          </w:tcPr>
          <w:p>
            <w:r/>
            <w:r>
              <w:rPr>
                <w:rFonts w:eastAsia="Hiragino Sans" w:ascii="Hiragino Sans" w:hAnsi="Hiragino Sans"/>
                <w:b w:val="0"/>
                <w:sz w:val="18"/>
              </w:rPr>
              <w:t>第38項(1)</w:t>
            </w:r>
          </w:p>
        </w:tc>
        <w:tc>
          <w:tcPr>
            <w:tcW w:type="dxa" w:w="2493"/>
            <w:shd w:val="clear" w:fill="F7F8FA"/>
          </w:tcPr>
          <w:p>
            <w:r/>
            <w:r>
              <w:rPr>
                <w:rFonts w:eastAsia="Hiragino Sans" w:ascii="Hiragino Sans" w:hAnsi="Hiragino Sans"/>
                <w:b w:val="0"/>
                <w:sz w:val="18"/>
              </w:rPr>
              <w:t>適用指針 第19項により、請求する権利を有している金額で認識</w:t>
            </w:r>
          </w:p>
        </w:tc>
      </w:tr>
      <w:tr>
        <w:tc>
          <w:tcPr>
            <w:tcW w:type="dxa" w:w="2493"/>
          </w:tcPr>
          <w:p>
            <w:r/>
            <w:r>
              <w:rPr>
                <w:rFonts w:eastAsia="Hiragino Sans" w:ascii="Hiragino Sans" w:hAnsi="Hiragino Sans"/>
                <w:b w:val="0"/>
                <w:sz w:val="18"/>
              </w:rPr>
              <w:t>③ コンサルティング（成果物型）</w:t>
            </w:r>
          </w:p>
        </w:tc>
        <w:tc>
          <w:tcPr>
            <w:tcW w:type="dxa" w:w="2493"/>
          </w:tcPr>
          <w:p>
            <w:r/>
            <w:r>
              <w:rPr>
                <w:rFonts w:eastAsia="Hiragino Sans" w:ascii="Hiragino Sans" w:hAnsi="Hiragino Sans"/>
                <w:b w:val="0"/>
                <w:sz w:val="18"/>
              </w:rPr>
              <w:t>一時点</w:t>
            </w:r>
          </w:p>
        </w:tc>
        <w:tc>
          <w:tcPr>
            <w:tcW w:type="dxa" w:w="2493"/>
          </w:tcPr>
          <w:p>
            <w:r/>
            <w:r>
              <w:rPr>
                <w:rFonts w:eastAsia="Hiragino Sans" w:ascii="Hiragino Sans" w:hAnsi="Hiragino Sans"/>
                <w:b w:val="0"/>
                <w:sz w:val="18"/>
              </w:rPr>
              <w:t>3要件いずれも満たさない。成果物は他の顧客へ転用可能で、中途解約時の補償も利益相当額を含まない</w:t>
            </w:r>
          </w:p>
        </w:tc>
        <w:tc>
          <w:tcPr>
            <w:tcW w:type="dxa" w:w="2493"/>
          </w:tcPr>
          <w:p>
            <w:r/>
            <w:r>
              <w:rPr>
                <w:rFonts w:eastAsia="Hiragino Sans" w:ascii="Hiragino Sans" w:hAnsi="Hiragino Sans"/>
                <w:b w:val="0"/>
                <w:sz w:val="18"/>
              </w:rPr>
              <w:t>検収時（第40項⑤）</w:t>
            </w:r>
          </w:p>
        </w:tc>
      </w:tr>
      <w:tr>
        <w:tc>
          <w:tcPr>
            <w:tcW w:type="dxa" w:w="2493"/>
            <w:shd w:val="clear" w:fill="F7F8FA"/>
          </w:tcPr>
          <w:p>
            <w:r/>
            <w:r>
              <w:rPr>
                <w:rFonts w:eastAsia="Hiragino Sans" w:ascii="Hiragino Sans" w:hAnsi="Hiragino Sans"/>
                <w:b w:val="0"/>
                <w:sz w:val="18"/>
              </w:rPr>
              <w:t>④ 保守運用</w:t>
            </w:r>
          </w:p>
        </w:tc>
        <w:tc>
          <w:tcPr>
            <w:tcW w:type="dxa" w:w="2493"/>
            <w:shd w:val="clear" w:fill="F7F8FA"/>
          </w:tcPr>
          <w:p>
            <w:r/>
            <w:r>
              <w:rPr>
                <w:rFonts w:eastAsia="Hiragino Sans" w:ascii="Hiragino Sans" w:hAnsi="Hiragino Sans"/>
                <w:b w:val="0"/>
                <w:sz w:val="18"/>
              </w:rPr>
              <w:t>一定の期間</w:t>
            </w:r>
          </w:p>
        </w:tc>
        <w:tc>
          <w:tcPr>
            <w:tcW w:type="dxa" w:w="2493"/>
            <w:shd w:val="clear" w:fill="F7F8FA"/>
          </w:tcPr>
          <w:p>
            <w:r/>
            <w:r>
              <w:rPr>
                <w:rFonts w:eastAsia="Hiragino Sans" w:ascii="Hiragino Sans" w:hAnsi="Hiragino Sans"/>
                <w:b w:val="0"/>
                <w:sz w:val="18"/>
              </w:rPr>
              <w:t>第38項(1)。待機を含む役務が期間を通じて提供される</w:t>
            </w:r>
          </w:p>
        </w:tc>
        <w:tc>
          <w:tcPr>
            <w:tcW w:type="dxa" w:w="2493"/>
            <w:shd w:val="clear" w:fill="F7F8FA"/>
          </w:tcPr>
          <w:p>
            <w:r/>
            <w:r>
              <w:rPr>
                <w:rFonts w:eastAsia="Hiragino Sans" w:ascii="Hiragino Sans" w:hAnsi="Hiragino Sans"/>
                <w:b w:val="0"/>
                <w:sz w:val="18"/>
              </w:rPr>
              <w:t>期間の経過に応じて均等に認識</w:t>
            </w:r>
          </w:p>
        </w:tc>
      </w:tr>
      <w:tr>
        <w:tc>
          <w:tcPr>
            <w:tcW w:type="dxa" w:w="2493"/>
          </w:tcPr>
          <w:p>
            <w:r/>
            <w:r>
              <w:rPr>
                <w:rFonts w:eastAsia="Hiragino Sans" w:ascii="Hiragino Sans" w:hAnsi="Hiragino Sans"/>
                <w:b w:val="0"/>
                <w:sz w:val="18"/>
              </w:rPr>
              <w:t>⑤ 人材紹介</w:t>
            </w:r>
          </w:p>
        </w:tc>
        <w:tc>
          <w:tcPr>
            <w:tcW w:type="dxa" w:w="2493"/>
          </w:tcPr>
          <w:p>
            <w:r/>
            <w:r>
              <w:rPr>
                <w:rFonts w:eastAsia="Hiragino Sans" w:ascii="Hiragino Sans" w:hAnsi="Hiragino Sans"/>
                <w:b w:val="0"/>
                <w:sz w:val="18"/>
              </w:rPr>
              <w:t>一時点</w:t>
            </w:r>
          </w:p>
        </w:tc>
        <w:tc>
          <w:tcPr>
            <w:tcW w:type="dxa" w:w="2493"/>
          </w:tcPr>
          <w:p>
            <w:r/>
            <w:r>
              <w:rPr>
                <w:rFonts w:eastAsia="Hiragino Sans" w:ascii="Hiragino Sans" w:hAnsi="Hiragino Sans"/>
                <w:b w:val="0"/>
                <w:sz w:val="18"/>
              </w:rPr>
              <w:t>紹介の成立をもって履行義務が充足される</w:t>
            </w:r>
          </w:p>
        </w:tc>
        <w:tc>
          <w:tcPr>
            <w:tcW w:type="dxa" w:w="2493"/>
          </w:tcPr>
          <w:p>
            <w:r/>
            <w:r>
              <w:rPr>
                <w:rFonts w:eastAsia="Hiragino Sans" w:ascii="Hiragino Sans" w:hAnsi="Hiragino Sans"/>
                <w:b w:val="0"/>
                <w:sz w:val="18"/>
              </w:rPr>
              <w:t>入社日（対価の返金は第6章による）</w:t>
            </w:r>
          </w:p>
        </w:tc>
      </w:tr>
      <w:tr>
        <w:tc>
          <w:tcPr>
            <w:tcW w:type="dxa" w:w="2493"/>
            <w:shd w:val="clear" w:fill="F7F8FA"/>
          </w:tcPr>
          <w:p>
            <w:r/>
            <w:r>
              <w:rPr>
                <w:rFonts w:eastAsia="Hiragino Sans" w:ascii="Hiragino Sans" w:hAnsi="Hiragino Sans"/>
                <w:b w:val="0"/>
                <w:sz w:val="18"/>
              </w:rPr>
              <w:t>⑥ 提携先研修の取次</w:t>
            </w:r>
          </w:p>
        </w:tc>
        <w:tc>
          <w:tcPr>
            <w:tcW w:type="dxa" w:w="2493"/>
            <w:shd w:val="clear" w:fill="F7F8FA"/>
          </w:tcPr>
          <w:p>
            <w:r/>
            <w:r>
              <w:rPr>
                <w:rFonts w:eastAsia="Hiragino Sans" w:ascii="Hiragino Sans" w:hAnsi="Hiragino Sans"/>
                <w:b w:val="0"/>
                <w:sz w:val="18"/>
              </w:rPr>
              <w:t>一時点</w:t>
            </w:r>
          </w:p>
        </w:tc>
        <w:tc>
          <w:tcPr>
            <w:tcW w:type="dxa" w:w="2493"/>
            <w:shd w:val="clear" w:fill="F7F8FA"/>
          </w:tcPr>
          <w:p>
            <w:r/>
            <w:r>
              <w:rPr>
                <w:rFonts w:eastAsia="Hiragino Sans" w:ascii="Hiragino Sans" w:hAnsi="Hiragino Sans"/>
                <w:b w:val="0"/>
                <w:sz w:val="18"/>
              </w:rPr>
              <w:t>取次の成立をもって履行義務が充足される。当社は研修の提供を支配しておらず代理人（適用指針第40項・第47項）</w:t>
            </w:r>
          </w:p>
        </w:tc>
        <w:tc>
          <w:tcPr>
            <w:tcW w:type="dxa" w:w="2493"/>
            <w:shd w:val="clear" w:fill="F7F8FA"/>
          </w:tcPr>
          <w:p>
            <w:r/>
            <w:r>
              <w:rPr>
                <w:rFonts w:eastAsia="Hiragino Sans" w:ascii="Hiragino Sans" w:hAnsi="Hiragino Sans"/>
                <w:b w:val="0"/>
                <w:sz w:val="18"/>
              </w:rPr>
              <w:t>取次の成立時（取次手数料を純額で認識。第6章による）</w:t>
            </w:r>
          </w:p>
        </w:tc>
      </w:tr>
    </w:tbl>
    <w:p>
      <w:pPr>
        <w:spacing w:after="40"/>
      </w:pPr>
    </w:p>
    <w:p>
      <w:pPr>
        <w:ind w:left="120"/>
        <w:shd w:val="clear" w:fill="F3F4F6"/>
        <w:pBdr>
          <w:left w:val="single" w:sz="18" w:space="6" w:color="24406B"/>
        </w:pBdr>
      </w:pPr>
      <w:r>
        <w:rPr>
          <w:rFonts w:eastAsia="Hiragino Sans" w:ascii="Hiragino Sans" w:hAnsi="Hiragino Sans"/>
          <w:b w:val="0"/>
          <w:i/>
          <w:color w:val="444444"/>
          <w:sz w:val="18"/>
        </w:rPr>
        <w:t>チェック観点: 類型③は「別の用途に転用できない資産が生じるか」と「利益相当額を含む補償を受ける強制力のある権利があるか」の</w:t>
      </w:r>
      <w:r>
        <w:rPr>
          <w:rFonts w:eastAsia="Hiragino Sans" w:ascii="Hiragino Sans" w:hAnsi="Hiragino Sans"/>
          <w:b/>
          <w:i/>
          <w:color w:val="444444"/>
          <w:sz w:val="18"/>
        </w:rPr>
        <w:t>両方</w:t>
      </w:r>
      <w:r>
        <w:rPr>
          <w:rFonts w:eastAsia="Hiragino Sans" w:ascii="Hiragino Sans" w:hAnsi="Hiragino Sans"/>
          <w:b w:val="0"/>
          <w:i/>
          <w:color w:val="444444"/>
          <w:sz w:val="18"/>
        </w:rPr>
        <w:t>を満たさなければ一定の期間にならない（第38項(3)）。契約書の中途解約条項が実費補償のみであれば、一時点である。契約書を変えたら判定をやり直すこと。</w:t>
      </w:r>
    </w:p>
    <w:p>
      <w:pPr>
        <w:jc w:val="center"/>
      </w:pPr>
      <w:r>
        <w:t>────────────────────────────────────────</w:t>
      </w:r>
    </w:p>
    <w:p>
      <w:pPr>
        <w:pStyle w:val="Heading1"/>
      </w:pPr>
      <w:r>
        <w:t>第4章　進捗度の見積り</w:t>
      </w:r>
    </w:p>
    <w:p>
      <w:pPr>
        <w:pStyle w:val="Heading2"/>
      </w:pPr>
      <w:r>
        <w:t>4-1　原則</w:t>
      </w:r>
    </w:p>
    <w:p>
      <w:pPr>
        <w:spacing w:after="80"/>
      </w:pPr>
      <w:r>
        <w:rPr>
          <w:rFonts w:eastAsia="Hiragino Sans" w:ascii="Hiragino Sans" w:hAnsi="Hiragino Sans"/>
          <w:b w:val="0"/>
          <w:i w:val="0"/>
        </w:rPr>
        <w:t>一定の期間にわたり充足される履行義務については、進捗度を見積り、それに応じて収益を認識する（第41項）。進捗度は履行義務ごとに単一の方法で見積り、類似の履行義務・状況には首尾一貫した方法を適用する（第42項）。各決算日に見直し、変更は会計上の見積りの変更として処理する（第43項）。</w:t>
      </w:r>
      <w:r>
        <w:rPr>
          <w:rFonts w:eastAsia="Hiragino Sans" w:ascii="Hiragino Sans" w:hAnsi="Hiragino Sans"/>
          <w:b/>
          <w:i w:val="0"/>
        </w:rPr>
        <w:t>進捗度を合理的に見積ることができる場合にのみ収益を認識する</w:t>
      </w:r>
      <w:r>
        <w:rPr>
          <w:rFonts w:eastAsia="Hiragino Sans" w:ascii="Hiragino Sans" w:hAnsi="Hiragino Sans"/>
          <w:b w:val="0"/>
          <w:i w:val="0"/>
        </w:rPr>
        <w:t>（第44項）。</w:t>
      </w:r>
    </w:p>
    <w:p>
      <w:pPr>
        <w:pStyle w:val="Heading2"/>
      </w:pPr>
      <w:r>
        <w:t>4-2　方法の選択</w:t>
      </w:r>
    </w:p>
    <w:p>
      <w:pPr>
        <w:spacing w:after="80"/>
      </w:pPr>
      <w:r>
        <w:rPr>
          <w:rFonts w:eastAsia="Hiragino Sans" w:ascii="Hiragino Sans" w:hAnsi="Hiragino Sans"/>
          <w:b w:val="0"/>
          <w:i w:val="0"/>
        </w:rPr>
        <w:t>進捗度の見積方法にはアウトプット法とインプット法がある（適用指針 第15項）。顧客に支配が移転しない財又はサービスの影響は反映しない（適用指針 第16項）。</w:t>
      </w:r>
    </w:p>
    <w:tbl>
      <w:tblPr>
        <w:tblStyle w:val="TableGrid"/>
        <w:tblW w:type="auto" w:w="0"/>
        <w:jc w:val="center"/>
        <w:tblLayout w:type="autofit"/>
        <w:tblLook w:firstColumn="1" w:firstRow="1" w:lastColumn="0" w:lastRow="0" w:noHBand="0" w:noVBand="1" w:val="04A0"/>
      </w:tblPr>
      <w:tblGrid>
        <w:gridCol w:w="2493"/>
        <w:gridCol w:w="2493"/>
        <w:gridCol w:w="2493"/>
        <w:gridCol w:w="2493"/>
      </w:tblGrid>
      <w:tr>
        <w:tc>
          <w:tcPr>
            <w:tcW w:type="dxa" w:w="2493"/>
            <w:shd w:val="clear" w:fill="24406B"/>
          </w:tcPr>
          <w:p>
            <w:r/>
            <w:r>
              <w:rPr>
                <w:rFonts w:eastAsia="Hiragino Sans" w:ascii="Hiragino Sans" w:hAnsi="Hiragino Sans"/>
                <w:b/>
                <w:color w:val="FFFFFF"/>
                <w:sz w:val="18"/>
              </w:rPr>
              <w:t>類型</w:t>
            </w:r>
          </w:p>
        </w:tc>
        <w:tc>
          <w:tcPr>
            <w:tcW w:type="dxa" w:w="2493"/>
            <w:shd w:val="clear" w:fill="24406B"/>
          </w:tcPr>
          <w:p>
            <w:r/>
            <w:r>
              <w:rPr>
                <w:rFonts w:eastAsia="Hiragino Sans" w:ascii="Hiragino Sans" w:hAnsi="Hiragino Sans"/>
                <w:b/>
                <w:color w:val="FFFFFF"/>
                <w:sz w:val="18"/>
              </w:rPr>
              <w:t>方法</w:t>
            </w:r>
          </w:p>
        </w:tc>
        <w:tc>
          <w:tcPr>
            <w:tcW w:type="dxa" w:w="2493"/>
            <w:shd w:val="clear" w:fill="24406B"/>
          </w:tcPr>
          <w:p>
            <w:r/>
            <w:r>
              <w:rPr>
                <w:rFonts w:eastAsia="Hiragino Sans" w:ascii="Hiragino Sans" w:hAnsi="Hiragino Sans"/>
                <w:b/>
                <w:color w:val="FFFFFF"/>
                <w:sz w:val="18"/>
              </w:rPr>
              <w:t>指標</w:t>
            </w:r>
          </w:p>
        </w:tc>
        <w:tc>
          <w:tcPr>
            <w:tcW w:type="dxa" w:w="2493"/>
            <w:shd w:val="clear" w:fill="24406B"/>
          </w:tcPr>
          <w:p>
            <w:r/>
            <w:r>
              <w:rPr>
                <w:rFonts w:eastAsia="Hiragino Sans" w:ascii="Hiragino Sans" w:hAnsi="Hiragino Sans"/>
                <w:b/>
                <w:color w:val="FFFFFF"/>
                <w:sz w:val="18"/>
              </w:rPr>
              <w:t>根拠</w:t>
            </w:r>
          </w:p>
        </w:tc>
      </w:tr>
      <w:tr>
        <w:tc>
          <w:tcPr>
            <w:tcW w:type="dxa" w:w="2493"/>
          </w:tcPr>
          <w:p>
            <w:r/>
            <w:r>
              <w:rPr>
                <w:rFonts w:eastAsia="Hiragino Sans" w:ascii="Hiragino Sans" w:hAnsi="Hiragino Sans"/>
                <w:b w:val="0"/>
                <w:sz w:val="18"/>
              </w:rPr>
              <w:t>① 業務受託</w:t>
            </w:r>
          </w:p>
        </w:tc>
        <w:tc>
          <w:tcPr>
            <w:tcW w:type="dxa" w:w="2493"/>
          </w:tcPr>
          <w:p>
            <w:r/>
            <w:r>
              <w:rPr>
                <w:rFonts w:eastAsia="Hiragino Sans" w:ascii="Hiragino Sans" w:hAnsi="Hiragino Sans"/>
                <w:b w:val="0"/>
                <w:sz w:val="18"/>
              </w:rPr>
              <w:t>アウトプット法</w:t>
            </w:r>
          </w:p>
        </w:tc>
        <w:tc>
          <w:tcPr>
            <w:tcW w:type="dxa" w:w="2493"/>
          </w:tcPr>
          <w:p>
            <w:r/>
            <w:r>
              <w:rPr>
                <w:rFonts w:eastAsia="Hiragino Sans" w:ascii="Hiragino Sans" w:hAnsi="Hiragino Sans"/>
                <w:b w:val="0"/>
                <w:sz w:val="18"/>
              </w:rPr>
              <w:t>経過期間（月額固定部分）／処理件数（従量部分）</w:t>
            </w:r>
          </w:p>
        </w:tc>
        <w:tc>
          <w:tcPr>
            <w:tcW w:type="dxa" w:w="2493"/>
          </w:tcPr>
          <w:p>
            <w:r/>
            <w:r>
              <w:rPr>
                <w:rFonts w:eastAsia="Hiragino Sans" w:ascii="Hiragino Sans" w:hAnsi="Hiragino Sans"/>
                <w:b w:val="0"/>
                <w:sz w:val="18"/>
              </w:rPr>
              <w:t>適用指針 第17項</w:t>
            </w:r>
          </w:p>
        </w:tc>
      </w:tr>
      <w:tr>
        <w:tc>
          <w:tcPr>
            <w:tcW w:type="dxa" w:w="2493"/>
            <w:shd w:val="clear" w:fill="F7F8FA"/>
          </w:tcPr>
          <w:p>
            <w:r/>
            <w:r>
              <w:rPr>
                <w:rFonts w:eastAsia="Hiragino Sans" w:ascii="Hiragino Sans" w:hAnsi="Hiragino Sans"/>
                <w:b w:val="0"/>
                <w:sz w:val="18"/>
              </w:rPr>
              <w:t>② コンサル（時間単価）</w:t>
            </w:r>
          </w:p>
        </w:tc>
        <w:tc>
          <w:tcPr>
            <w:tcW w:type="dxa" w:w="2493"/>
            <w:shd w:val="clear" w:fill="F7F8FA"/>
          </w:tcPr>
          <w:p>
            <w:r/>
            <w:r>
              <w:rPr>
                <w:rFonts w:eastAsia="Hiragino Sans" w:ascii="Hiragino Sans" w:hAnsi="Hiragino Sans"/>
                <w:b w:val="0"/>
                <w:sz w:val="18"/>
              </w:rPr>
              <w:t>—</w:t>
            </w:r>
          </w:p>
        </w:tc>
        <w:tc>
          <w:tcPr>
            <w:tcW w:type="dxa" w:w="2493"/>
            <w:shd w:val="clear" w:fill="F7F8FA"/>
          </w:tcPr>
          <w:p>
            <w:r/>
            <w:r>
              <w:rPr>
                <w:rFonts w:eastAsia="Hiragino Sans" w:ascii="Hiragino Sans" w:hAnsi="Hiragino Sans"/>
                <w:b w:val="0"/>
                <w:sz w:val="18"/>
              </w:rPr>
              <w:t>請求する権利を有している金額で認識（実務上の便法）</w:t>
            </w:r>
          </w:p>
        </w:tc>
        <w:tc>
          <w:tcPr>
            <w:tcW w:type="dxa" w:w="2493"/>
            <w:shd w:val="clear" w:fill="F7F8FA"/>
          </w:tcPr>
          <w:p>
            <w:r/>
            <w:r>
              <w:rPr>
                <w:rFonts w:eastAsia="Hiragino Sans" w:ascii="Hiragino Sans" w:hAnsi="Hiragino Sans"/>
                <w:b w:val="0"/>
                <w:sz w:val="18"/>
              </w:rPr>
              <w:t>適用指針 第19項</w:t>
            </w:r>
          </w:p>
        </w:tc>
      </w:tr>
      <w:tr>
        <w:tc>
          <w:tcPr>
            <w:tcW w:type="dxa" w:w="2493"/>
          </w:tcPr>
          <w:p>
            <w:r/>
            <w:r>
              <w:rPr>
                <w:rFonts w:eastAsia="Hiragino Sans" w:ascii="Hiragino Sans" w:hAnsi="Hiragino Sans"/>
                <w:b w:val="0"/>
                <w:sz w:val="18"/>
              </w:rPr>
              <w:t>④ 保守運用</w:t>
            </w:r>
          </w:p>
        </w:tc>
        <w:tc>
          <w:tcPr>
            <w:tcW w:type="dxa" w:w="2493"/>
          </w:tcPr>
          <w:p>
            <w:r/>
            <w:r>
              <w:rPr>
                <w:rFonts w:eastAsia="Hiragino Sans" w:ascii="Hiragino Sans" w:hAnsi="Hiragino Sans"/>
                <w:b w:val="0"/>
                <w:sz w:val="18"/>
              </w:rPr>
              <w:t>アウトプット法</w:t>
            </w:r>
          </w:p>
        </w:tc>
        <w:tc>
          <w:tcPr>
            <w:tcW w:type="dxa" w:w="2493"/>
          </w:tcPr>
          <w:p>
            <w:r/>
            <w:r>
              <w:rPr>
                <w:rFonts w:eastAsia="Hiragino Sans" w:ascii="Hiragino Sans" w:hAnsi="Hiragino Sans"/>
                <w:b w:val="0"/>
                <w:sz w:val="18"/>
              </w:rPr>
              <w:t>経過期間</w:t>
            </w:r>
          </w:p>
        </w:tc>
        <w:tc>
          <w:tcPr>
            <w:tcW w:type="dxa" w:w="2493"/>
          </w:tcPr>
          <w:p>
            <w:r/>
            <w:r>
              <w:rPr>
                <w:rFonts w:eastAsia="Hiragino Sans" w:ascii="Hiragino Sans" w:hAnsi="Hiragino Sans"/>
                <w:b w:val="0"/>
                <w:sz w:val="18"/>
              </w:rPr>
              <w:t>適用指針 第17項</w:t>
            </w:r>
          </w:p>
        </w:tc>
      </w:tr>
      <w:tr>
        <w:tc>
          <w:tcPr>
            <w:tcW w:type="dxa" w:w="2493"/>
            <w:shd w:val="clear" w:fill="F7F8FA"/>
          </w:tcPr>
          <w:p>
            <w:r/>
            <w:r>
              <w:rPr>
                <w:rFonts w:eastAsia="Hiragino Sans" w:ascii="Hiragino Sans" w:hAnsi="Hiragino Sans"/>
                <w:b w:val="0"/>
                <w:sz w:val="18"/>
              </w:rPr>
              <w:t>（長期・成果物型で一定期間と判定した場合）</w:t>
            </w:r>
          </w:p>
        </w:tc>
        <w:tc>
          <w:tcPr>
            <w:tcW w:type="dxa" w:w="2493"/>
            <w:shd w:val="clear" w:fill="F7F8FA"/>
          </w:tcPr>
          <w:p>
            <w:r/>
            <w:r>
              <w:rPr>
                <w:rFonts w:eastAsia="Hiragino Sans" w:ascii="Hiragino Sans" w:hAnsi="Hiragino Sans"/>
                <w:b w:val="0"/>
                <w:sz w:val="18"/>
              </w:rPr>
              <w:t>インプット法</w:t>
            </w:r>
          </w:p>
        </w:tc>
        <w:tc>
          <w:tcPr>
            <w:tcW w:type="dxa" w:w="2493"/>
            <w:shd w:val="clear" w:fill="F7F8FA"/>
          </w:tcPr>
          <w:p>
            <w:r/>
            <w:r>
              <w:rPr>
                <w:rFonts w:eastAsia="Hiragino Sans" w:ascii="Hiragino Sans" w:hAnsi="Hiragino Sans"/>
                <w:b w:val="0"/>
                <w:sz w:val="18"/>
              </w:rPr>
              <w:t>発生した労働時間</w:t>
            </w:r>
          </w:p>
        </w:tc>
        <w:tc>
          <w:tcPr>
            <w:tcW w:type="dxa" w:w="2493"/>
            <w:shd w:val="clear" w:fill="F7F8FA"/>
          </w:tcPr>
          <w:p>
            <w:r/>
            <w:r>
              <w:rPr>
                <w:rFonts w:eastAsia="Hiragino Sans" w:ascii="Hiragino Sans" w:hAnsi="Hiragino Sans"/>
                <w:b w:val="0"/>
                <w:sz w:val="18"/>
              </w:rPr>
              <w:t>適用指針 第20項</w:t>
            </w:r>
          </w:p>
        </w:tc>
      </w:tr>
    </w:tbl>
    <w:p>
      <w:pPr>
        <w:spacing w:after="40"/>
      </w:pPr>
    </w:p>
    <w:p>
      <w:pPr>
        <w:pStyle w:val="ListBullet"/>
        <w:ind w:left="240"/>
      </w:pPr>
      <w:r>
        <w:rPr>
          <w:rFonts w:eastAsia="Hiragino Sans" w:ascii="Hiragino Sans" w:hAnsi="Hiragino Sans"/>
          <w:b w:val="0"/>
          <w:sz w:val="20"/>
        </w:rPr>
        <w:t>インプットが期間を通じて均等に費消される場合、定額で認識することが適切なことがある（適用指針 第20項）。</w:t>
      </w:r>
    </w:p>
    <w:p>
      <w:pPr>
        <w:pStyle w:val="ListBullet"/>
        <w:ind w:left="240"/>
      </w:pPr>
      <w:r>
        <w:rPr>
          <w:rFonts w:eastAsia="Hiragino Sans" w:ascii="Hiragino Sans" w:hAnsi="Hiragino Sans"/>
          <w:b w:val="0"/>
          <w:sz w:val="20"/>
        </w:rPr>
        <w:t>契約締結活動・契約管理活動で発生したコストは、それ自体が履行義務でない限り、コストに基づくインプット法の進捗度から</w:t>
      </w:r>
      <w:r>
        <w:rPr>
          <w:rFonts w:eastAsia="Hiragino Sans" w:ascii="Hiragino Sans" w:hAnsi="Hiragino Sans"/>
          <w:b/>
          <w:sz w:val="20"/>
        </w:rPr>
        <w:t>除く</w:t>
      </w:r>
      <w:r>
        <w:rPr>
          <w:rFonts w:eastAsia="Hiragino Sans" w:ascii="Hiragino Sans" w:hAnsi="Hiragino Sans"/>
          <w:b w:val="0"/>
          <w:sz w:val="20"/>
        </w:rPr>
        <w:t>（適用指針 第60項）。</w:t>
      </w:r>
    </w:p>
    <w:p>
      <w:pPr>
        <w:pStyle w:val="Heading2"/>
      </w:pPr>
      <w:r>
        <w:t>4-3　合理的に見積ることができない場合</w:t>
      </w:r>
    </w:p>
    <w:p>
      <w:pPr>
        <w:spacing w:after="80"/>
      </w:pPr>
      <w:r>
        <w:rPr>
          <w:rFonts w:eastAsia="Hiragino Sans" w:ascii="Hiragino Sans" w:hAnsi="Hiragino Sans"/>
          <w:b w:val="0"/>
          <w:i w:val="0"/>
        </w:rPr>
        <w:t>進捗度を合理的に見積ることができないが、履行義務を充足する際に発生する費用を回収することが見込まれる場合は、</w:t>
      </w:r>
      <w:r>
        <w:rPr>
          <w:rFonts w:eastAsia="Hiragino Sans" w:ascii="Hiragino Sans" w:hAnsi="Hiragino Sans"/>
          <w:b/>
          <w:i w:val="0"/>
        </w:rPr>
        <w:t>原価回収基準</w:t>
      </w:r>
      <w:r>
        <w:rPr>
          <w:rFonts w:eastAsia="Hiragino Sans" w:ascii="Hiragino Sans" w:hAnsi="Hiragino Sans"/>
          <w:b w:val="0"/>
          <w:i w:val="0"/>
        </w:rPr>
        <w:t>により処理する（第45項。定義は第15項）。すなわち、履行義務を充足する際に発生する費用のうち回収することが見込まれる部分と同額を収益として認識する。</w:t>
      </w:r>
    </w:p>
    <w:p>
      <w:pPr>
        <w:spacing w:after="80"/>
      </w:pPr>
      <w:r>
        <w:rPr>
          <w:rFonts w:eastAsia="Hiragino Sans" w:ascii="Hiragino Sans" w:hAnsi="Hiragino Sans"/>
          <w:b w:val="0"/>
          <w:i w:val="0"/>
        </w:rPr>
        <w:t>ただし、</w:t>
      </w:r>
      <w:r>
        <w:rPr>
          <w:rFonts w:eastAsia="Hiragino Sans" w:ascii="Hiragino Sans" w:hAnsi="Hiragino Sans"/>
          <w:b/>
          <w:i w:val="0"/>
        </w:rPr>
        <w:t>契約の初期段階</w:t>
      </w:r>
      <w:r>
        <w:rPr>
          <w:rFonts w:eastAsia="Hiragino Sans" w:ascii="Hiragino Sans" w:hAnsi="Hiragino Sans"/>
          <w:b w:val="0"/>
          <w:i w:val="0"/>
        </w:rPr>
        <w:t>において進捗度を合理的に見積ることができない場合には、当該初期段階に収益を認識せず、進捗度を合理的に見積ることができる時から収益を認識することができる（適用指針 第99項）。当社はこの取扱いを採用する。採用した場合は、初期段階の範囲（何をもって初期段階の終了とするか）を契約ごとに定め、判定シートに記録する。</w:t>
      </w:r>
    </w:p>
    <w:p>
      <w:pPr>
        <w:ind w:left="120"/>
        <w:shd w:val="clear" w:fill="F3F4F6"/>
        <w:pBdr>
          <w:left w:val="single" w:sz="18" w:space="6" w:color="24406B"/>
        </w:pBdr>
      </w:pPr>
      <w:r>
        <w:rPr>
          <w:rFonts w:eastAsia="Hiragino Sans" w:ascii="Hiragino Sans" w:hAnsi="Hiragino Sans"/>
          <w:b w:val="0"/>
          <w:i/>
          <w:color w:val="444444"/>
          <w:sz w:val="18"/>
        </w:rPr>
        <w:t>チェック観点: 原価回収基準は「見積れないから収益を立てない」ではなく「回収見込みの費用と同額を立てる」処理である。利益は出ないが収益は立つ。適用指針第99項を採るなら初期段階の線引きを先に決めておくこと。</w:t>
      </w:r>
    </w:p>
    <w:p>
      <w:pPr>
        <w:jc w:val="center"/>
      </w:pPr>
      <w:r>
        <w:t>────────────────────────────────────────</w:t>
      </w:r>
    </w:p>
    <w:p>
      <w:pPr>
        <w:pStyle w:val="Heading1"/>
      </w:pPr>
      <w:r>
        <w:t>第5章　本人か代理人か</w:t>
      </w:r>
    </w:p>
    <w:p>
      <w:pPr>
        <w:pStyle w:val="Heading2"/>
      </w:pPr>
      <w:r>
        <w:t>5-1　判定</w:t>
      </w:r>
    </w:p>
    <w:p>
      <w:pPr>
        <w:spacing w:after="80"/>
      </w:pPr>
      <w:r>
        <w:rPr>
          <w:rFonts w:eastAsia="Hiragino Sans" w:ascii="Hiragino Sans" w:hAnsi="Hiragino Sans"/>
          <w:b w:val="0"/>
          <w:i w:val="0"/>
        </w:rPr>
        <w:t>顧客への財又はサービスの提供に他の当事者が関与している場合、企業が本人か代理人かを判定する。本人に該当するときは対価の</w:t>
      </w:r>
      <w:r>
        <w:rPr>
          <w:rFonts w:eastAsia="Hiragino Sans" w:ascii="Hiragino Sans" w:hAnsi="Hiragino Sans"/>
          <w:b/>
          <w:i w:val="0"/>
        </w:rPr>
        <w:t>総額</w:t>
      </w:r>
      <w:r>
        <w:rPr>
          <w:rFonts w:eastAsia="Hiragino Sans" w:ascii="Hiragino Sans" w:hAnsi="Hiragino Sans"/>
          <w:b w:val="0"/>
          <w:i w:val="0"/>
        </w:rPr>
        <w:t>を収益として認識し（適用指針 第39項）、代理人に該当するときは報酬又は手数料の金額（あるいは純額）を収益として認識する（適用指針 第40項）。</w:t>
      </w:r>
    </w:p>
    <w:p>
      <w:pPr>
        <w:spacing w:after="80"/>
      </w:pPr>
      <w:r>
        <w:rPr>
          <w:rFonts w:eastAsia="Hiragino Sans" w:ascii="Hiragino Sans" w:hAnsi="Hiragino Sans"/>
          <w:b w:val="0"/>
          <w:i w:val="0"/>
        </w:rPr>
        <w:t>判定は特定の財又はサービスごとに行う（適用指針 第41項）。手順は、①顧客に提供する財又はサービスを識別し、②顧客に提供される前に企業が当該財又はサービスを支配しているかを判断する、の2段階である（適用指針 第42項・第43項）。支配していると考えられる3つの類型は適用指針 第44項、法的所有権が瞬時に移転する場合は第45項、外注先に充足させる場合も本人に該当し得ることは第46項に定めがある。</w:t>
      </w:r>
    </w:p>
    <w:p>
      <w:pPr>
        <w:spacing w:after="80"/>
      </w:pPr>
      <w:r>
        <w:rPr>
          <w:rFonts w:eastAsia="Hiragino Sans" w:ascii="Hiragino Sans" w:hAnsi="Hiragino Sans"/>
          <w:b w:val="0"/>
          <w:i w:val="0"/>
        </w:rPr>
        <w:t>支配の判定にあたっては、次の指標を考慮する（適用指針 第47項）。</w:t>
      </w:r>
    </w:p>
    <w:p>
      <w:pPr>
        <w:pStyle w:val="ListBullet"/>
        <w:ind w:left="240"/>
      </w:pPr>
      <w:r>
        <w:rPr>
          <w:rFonts w:eastAsia="Hiragino Sans" w:ascii="Hiragino Sans" w:hAnsi="Hiragino Sans"/>
          <w:b w:val="0"/>
          <w:sz w:val="20"/>
        </w:rPr>
        <w:t>企業が当該財又はサービスを提供するという約束の履行に対して</w:t>
      </w:r>
      <w:r>
        <w:rPr>
          <w:rFonts w:eastAsia="Hiragino Sans" w:ascii="Hiragino Sans" w:hAnsi="Hiragino Sans"/>
          <w:b/>
          <w:sz w:val="20"/>
        </w:rPr>
        <w:t>主たる責任</w:t>
      </w:r>
      <w:r>
        <w:rPr>
          <w:rFonts w:eastAsia="Hiragino Sans" w:ascii="Hiragino Sans" w:hAnsi="Hiragino Sans"/>
          <w:b w:val="0"/>
          <w:sz w:val="20"/>
        </w:rPr>
        <w:t>を有していること</w:t>
      </w:r>
    </w:p>
    <w:p>
      <w:pPr>
        <w:pStyle w:val="ListBullet"/>
        <w:ind w:left="240"/>
      </w:pPr>
      <w:r>
        <w:rPr>
          <w:rFonts w:eastAsia="Hiragino Sans" w:ascii="Hiragino Sans" w:hAnsi="Hiragino Sans"/>
          <w:b w:val="0"/>
          <w:sz w:val="20"/>
        </w:rPr>
        <w:t>当該財又はサービスが顧客に提供される前、あるいは支配が顧客に移転した後において、企業が</w:t>
      </w:r>
      <w:r>
        <w:rPr>
          <w:rFonts w:eastAsia="Hiragino Sans" w:ascii="Hiragino Sans" w:hAnsi="Hiragino Sans"/>
          <w:b/>
          <w:sz w:val="20"/>
        </w:rPr>
        <w:t>在庫リスク</w:t>
      </w:r>
      <w:r>
        <w:rPr>
          <w:rFonts w:eastAsia="Hiragino Sans" w:ascii="Hiragino Sans" w:hAnsi="Hiragino Sans"/>
          <w:b w:val="0"/>
          <w:sz w:val="20"/>
        </w:rPr>
        <w:t>を有していること</w:t>
      </w:r>
    </w:p>
    <w:p>
      <w:pPr>
        <w:pStyle w:val="ListBullet"/>
        <w:ind w:left="240"/>
      </w:pPr>
      <w:r>
        <w:rPr>
          <w:rFonts w:eastAsia="Hiragino Sans" w:ascii="Hiragino Sans" w:hAnsi="Hiragino Sans"/>
          <w:b w:val="0"/>
          <w:sz w:val="20"/>
        </w:rPr>
        <w:t>当該財又はサービスの</w:t>
      </w:r>
      <w:r>
        <w:rPr>
          <w:rFonts w:eastAsia="Hiragino Sans" w:ascii="Hiragino Sans" w:hAnsi="Hiragino Sans"/>
          <w:b/>
          <w:sz w:val="20"/>
        </w:rPr>
        <w:t>価格設定に対する裁量権</w:t>
      </w:r>
      <w:r>
        <w:rPr>
          <w:rFonts w:eastAsia="Hiragino Sans" w:ascii="Hiragino Sans" w:hAnsi="Hiragino Sans"/>
          <w:b w:val="0"/>
          <w:sz w:val="20"/>
        </w:rPr>
        <w:t>を有していること</w:t>
      </w:r>
    </w:p>
    <w:p>
      <w:pPr>
        <w:pStyle w:val="Heading2"/>
      </w:pPr>
      <w:r>
        <w:t>5-2　当社の当てはめ</w:t>
      </w:r>
    </w:p>
    <w:tbl>
      <w:tblPr>
        <w:tblStyle w:val="TableGrid"/>
        <w:tblW w:type="auto" w:w="0"/>
        <w:jc w:val="center"/>
        <w:tblLayout w:type="autofit"/>
        <w:tblLook w:firstColumn="1" w:firstRow="1" w:lastColumn="0" w:lastRow="0" w:noHBand="0" w:noVBand="1" w:val="04A0"/>
      </w:tblPr>
      <w:tblGrid>
        <w:gridCol w:w="3324"/>
        <w:gridCol w:w="3324"/>
        <w:gridCol w:w="3324"/>
      </w:tblGrid>
      <w:tr>
        <w:tc>
          <w:tcPr>
            <w:tcW w:type="dxa" w:w="3324"/>
            <w:shd w:val="clear" w:fill="24406B"/>
          </w:tcPr>
          <w:p>
            <w:r/>
            <w:r>
              <w:rPr>
                <w:rFonts w:eastAsia="Hiragino Sans" w:ascii="Hiragino Sans" w:hAnsi="Hiragino Sans"/>
                <w:b/>
                <w:color w:val="FFFFFF"/>
                <w:sz w:val="18"/>
              </w:rPr>
              <w:t>場面</w:t>
            </w:r>
          </w:p>
        </w:tc>
        <w:tc>
          <w:tcPr>
            <w:tcW w:type="dxa" w:w="3324"/>
            <w:shd w:val="clear" w:fill="24406B"/>
          </w:tcPr>
          <w:p>
            <w:r/>
            <w:r>
              <w:rPr>
                <w:rFonts w:eastAsia="Hiragino Sans" w:ascii="Hiragino Sans" w:hAnsi="Hiragino Sans"/>
                <w:b/>
                <w:color w:val="FFFFFF"/>
                <w:sz w:val="18"/>
              </w:rPr>
              <w:t>判定</w:t>
            </w:r>
          </w:p>
        </w:tc>
        <w:tc>
          <w:tcPr>
            <w:tcW w:type="dxa" w:w="3324"/>
            <w:shd w:val="clear" w:fill="24406B"/>
          </w:tcPr>
          <w:p>
            <w:r/>
            <w:r>
              <w:rPr>
                <w:rFonts w:eastAsia="Hiragino Sans" w:ascii="Hiragino Sans" w:hAnsi="Hiragino Sans"/>
                <w:b/>
                <w:color w:val="FFFFFF"/>
                <w:sz w:val="18"/>
              </w:rPr>
              <w:t>理由</w:t>
            </w:r>
          </w:p>
        </w:tc>
      </w:tr>
      <w:tr>
        <w:tc>
          <w:tcPr>
            <w:tcW w:type="dxa" w:w="3324"/>
          </w:tcPr>
          <w:p>
            <w:r/>
            <w:r>
              <w:rPr>
                <w:rFonts w:eastAsia="Hiragino Sans" w:ascii="Hiragino Sans" w:hAnsi="Hiragino Sans"/>
                <w:b w:val="0"/>
                <w:sz w:val="18"/>
              </w:rPr>
              <w:t>業務受託の一部を外注先に再委託</w:t>
            </w:r>
          </w:p>
        </w:tc>
        <w:tc>
          <w:tcPr>
            <w:tcW w:type="dxa" w:w="3324"/>
          </w:tcPr>
          <w:p>
            <w:r/>
            <w:r>
              <w:rPr>
                <w:rFonts w:eastAsia="Hiragino Sans" w:ascii="Hiragino Sans" w:hAnsi="Hiragino Sans"/>
                <w:b w:val="0"/>
                <w:sz w:val="18"/>
              </w:rPr>
              <w:t>本人（総額）</w:t>
            </w:r>
          </w:p>
        </w:tc>
        <w:tc>
          <w:tcPr>
            <w:tcW w:type="dxa" w:w="3324"/>
          </w:tcPr>
          <w:p>
            <w:r/>
            <w:r>
              <w:rPr>
                <w:rFonts w:eastAsia="Hiragino Sans" w:ascii="Hiragino Sans" w:hAnsi="Hiragino Sans"/>
                <w:b w:val="0"/>
                <w:sz w:val="18"/>
              </w:rPr>
              <w:t>顧客に対する履行の主たる責任を当社が負い、価格設定の裁量権も当社にある（適用指針 第46項・第47項）</w:t>
            </w:r>
          </w:p>
        </w:tc>
      </w:tr>
      <w:tr>
        <w:tc>
          <w:tcPr>
            <w:tcW w:type="dxa" w:w="3324"/>
            <w:shd w:val="clear" w:fill="F7F8FA"/>
          </w:tcPr>
          <w:p>
            <w:r/>
            <w:r>
              <w:rPr>
                <w:rFonts w:eastAsia="Hiragino Sans" w:ascii="Hiragino Sans" w:hAnsi="Hiragino Sans"/>
                <w:b w:val="0"/>
                <w:sz w:val="18"/>
              </w:rPr>
              <w:t>提携先の研修プログラムを顧客に取り次ぐ</w:t>
            </w:r>
          </w:p>
        </w:tc>
        <w:tc>
          <w:tcPr>
            <w:tcW w:type="dxa" w:w="3324"/>
            <w:shd w:val="clear" w:fill="F7F8FA"/>
          </w:tcPr>
          <w:p>
            <w:r/>
            <w:r>
              <w:rPr>
                <w:rFonts w:eastAsia="Hiragino Sans" w:ascii="Hiragino Sans" w:hAnsi="Hiragino Sans"/>
                <w:b w:val="0"/>
                <w:sz w:val="18"/>
              </w:rPr>
              <w:t>代理人（純額）</w:t>
            </w:r>
          </w:p>
        </w:tc>
        <w:tc>
          <w:tcPr>
            <w:tcW w:type="dxa" w:w="3324"/>
            <w:shd w:val="clear" w:fill="F7F8FA"/>
          </w:tcPr>
          <w:p>
            <w:r/>
            <w:r>
              <w:rPr>
                <w:rFonts w:eastAsia="Hiragino Sans" w:ascii="Hiragino Sans" w:hAnsi="Hiragino Sans"/>
                <w:b w:val="0"/>
                <w:sz w:val="18"/>
              </w:rPr>
              <w:t>提供前に当社が支配しておらず、主たる責任は提携先が負う。当社の収益は取次手数料</w:t>
            </w:r>
          </w:p>
        </w:tc>
      </w:tr>
    </w:tbl>
    <w:p>
      <w:pPr>
        <w:spacing w:after="40"/>
      </w:pPr>
    </w:p>
    <w:p>
      <w:pPr>
        <w:ind w:left="120"/>
        <w:shd w:val="clear" w:fill="F3F4F6"/>
        <w:pBdr>
          <w:left w:val="single" w:sz="18" w:space="6" w:color="24406B"/>
        </w:pBdr>
      </w:pPr>
      <w:r>
        <w:rPr>
          <w:rFonts w:eastAsia="Hiragino Sans" w:ascii="Hiragino Sans" w:hAnsi="Hiragino Sans"/>
          <w:b w:val="0"/>
          <w:i/>
          <w:color w:val="444444"/>
          <w:sz w:val="18"/>
        </w:rPr>
        <w:t>⚠️ 本人・代理人の定めは</w:t>
      </w:r>
      <w:r>
        <w:rPr>
          <w:rFonts w:eastAsia="Hiragino Sans" w:ascii="Hiragino Sans" w:hAnsi="Hiragino Sans"/>
          <w:b/>
          <w:i/>
          <w:color w:val="444444"/>
          <w:sz w:val="18"/>
        </w:rPr>
        <w:t>本体基準ではなく適用指針</w:t>
      </w:r>
      <w:r>
        <w:rPr>
          <w:rFonts w:eastAsia="Hiragino Sans" w:ascii="Hiragino Sans" w:hAnsi="Hiragino Sans"/>
          <w:b w:val="0"/>
          <w:i/>
          <w:color w:val="444444"/>
          <w:sz w:val="18"/>
        </w:rPr>
        <w:t>にある（適用指針 第39項〜第47項）。本体基準の第39項・第40項は「一時点で充足される履行義務」の定めであり、項番が偶然一致するため取り違えやすい。社内文書で引用する際は「適用指針」と明記すること。</w:t>
      </w:r>
    </w:p>
    <w:p>
      <w:pPr>
        <w:jc w:val="center"/>
      </w:pPr>
      <w:r>
        <w:t>────────────────────────────────────────</w:t>
      </w:r>
    </w:p>
    <w:p>
      <w:pPr>
        <w:pStyle w:val="Heading1"/>
      </w:pPr>
      <w:r>
        <w:t>第6章　変動対価</w:t>
      </w:r>
    </w:p>
    <w:p>
      <w:pPr>
        <w:pStyle w:val="Heading2"/>
      </w:pPr>
      <w:r>
        <w:t>6-1　枠組み</w:t>
      </w:r>
    </w:p>
    <w:p>
      <w:pPr>
        <w:spacing w:after="80"/>
      </w:pPr>
      <w:r>
        <w:rPr>
          <w:rFonts w:eastAsia="Hiragino Sans" w:ascii="Hiragino Sans" w:hAnsi="Hiragino Sans"/>
          <w:b w:val="0"/>
          <w:i w:val="0"/>
        </w:rPr>
        <w:t>顧客と約束した対価のうち変動する可能性のある部分を変動対価という（第50項）。変動対価の額は、</w:t>
      </w:r>
      <w:r>
        <w:rPr>
          <w:rFonts w:eastAsia="Hiragino Sans" w:ascii="Hiragino Sans" w:hAnsi="Hiragino Sans"/>
          <w:b/>
          <w:i w:val="0"/>
        </w:rPr>
        <w:t>最頻値法</w:t>
      </w:r>
      <w:r>
        <w:rPr>
          <w:rFonts w:eastAsia="Hiragino Sans" w:ascii="Hiragino Sans" w:hAnsi="Hiragino Sans"/>
          <w:b w:val="0"/>
          <w:i w:val="0"/>
        </w:rPr>
        <w:t>または</w:t>
      </w:r>
      <w:r>
        <w:rPr>
          <w:rFonts w:eastAsia="Hiragino Sans" w:ascii="Hiragino Sans" w:hAnsi="Hiragino Sans"/>
          <w:b/>
          <w:i w:val="0"/>
        </w:rPr>
        <w:t>期待値法</w:t>
      </w:r>
      <w:r>
        <w:rPr>
          <w:rFonts w:eastAsia="Hiragino Sans" w:ascii="Hiragino Sans" w:hAnsi="Hiragino Sans"/>
          <w:b w:val="0"/>
          <w:i w:val="0"/>
        </w:rPr>
        <w:t>のうち、企業が権利を得ることとなる対価の額をより適切に予測できる方法を用いて見積る（第51項）。契約全体を通じて単一の方法を首尾一貫して適用する（第52項）。顧客から受け取った対価のうち返金すると見込む額は返金負債として認識する（第53項）。</w:t>
      </w:r>
    </w:p>
    <w:p>
      <w:pPr>
        <w:spacing w:after="80"/>
      </w:pPr>
      <w:r>
        <w:rPr>
          <w:rFonts w:eastAsia="Hiragino Sans" w:ascii="Hiragino Sans" w:hAnsi="Hiragino Sans"/>
          <w:b w:val="0"/>
          <w:i w:val="0"/>
        </w:rPr>
        <w:t>見積った変動対価は、その</w:t>
      </w:r>
      <w:r>
        <w:rPr>
          <w:rFonts w:eastAsia="Hiragino Sans" w:ascii="Hiragino Sans" w:hAnsi="Hiragino Sans"/>
          <w:b/>
          <w:i w:val="0"/>
        </w:rPr>
        <w:t>不確実性が事後的に解消される際に、解消される時点までに計上された収益の著しい減額が発生しない可能性が高い部分に限り</w:t>
      </w:r>
      <w:r>
        <w:rPr>
          <w:rFonts w:eastAsia="Hiragino Sans" w:ascii="Hiragino Sans" w:hAnsi="Hiragino Sans"/>
          <w:b w:val="0"/>
          <w:i w:val="0"/>
        </w:rPr>
        <w:t>、取引価格に含める（第54項）。各決算日に見直す（第55項）。</w:t>
      </w:r>
    </w:p>
    <w:p>
      <w:pPr>
        <w:pStyle w:val="Heading2"/>
      </w:pPr>
      <w:r>
        <w:t>6-2　当社の当てはめ</w:t>
      </w:r>
    </w:p>
    <w:tbl>
      <w:tblPr>
        <w:tblStyle w:val="TableGrid"/>
        <w:tblW w:type="auto" w:w="0"/>
        <w:jc w:val="center"/>
        <w:tblLayout w:type="autofit"/>
        <w:tblLook w:firstColumn="1" w:firstRow="1" w:lastColumn="0" w:lastRow="0" w:noHBand="0" w:noVBand="1" w:val="04A0"/>
      </w:tblPr>
      <w:tblGrid>
        <w:gridCol w:w="3324"/>
        <w:gridCol w:w="3324"/>
        <w:gridCol w:w="3324"/>
      </w:tblGrid>
      <w:tr>
        <w:tc>
          <w:tcPr>
            <w:tcW w:type="dxa" w:w="3324"/>
            <w:shd w:val="clear" w:fill="24406B"/>
          </w:tcPr>
          <w:p>
            <w:r/>
            <w:r>
              <w:rPr>
                <w:rFonts w:eastAsia="Hiragino Sans" w:ascii="Hiragino Sans" w:hAnsi="Hiragino Sans"/>
                <w:b/>
                <w:color w:val="FFFFFF"/>
                <w:sz w:val="18"/>
              </w:rPr>
              <w:t>場面</w:t>
            </w:r>
          </w:p>
        </w:tc>
        <w:tc>
          <w:tcPr>
            <w:tcW w:type="dxa" w:w="3324"/>
            <w:shd w:val="clear" w:fill="24406B"/>
          </w:tcPr>
          <w:p>
            <w:r/>
            <w:r>
              <w:rPr>
                <w:rFonts w:eastAsia="Hiragino Sans" w:ascii="Hiragino Sans" w:hAnsi="Hiragino Sans"/>
                <w:b/>
                <w:color w:val="FFFFFF"/>
                <w:sz w:val="18"/>
              </w:rPr>
              <w:t>見積方法</w:t>
            </w:r>
          </w:p>
        </w:tc>
        <w:tc>
          <w:tcPr>
            <w:tcW w:type="dxa" w:w="3324"/>
            <w:shd w:val="clear" w:fill="24406B"/>
          </w:tcPr>
          <w:p>
            <w:r/>
            <w:r>
              <w:rPr>
                <w:rFonts w:eastAsia="Hiragino Sans" w:ascii="Hiragino Sans" w:hAnsi="Hiragino Sans"/>
                <w:b/>
                <w:color w:val="FFFFFF"/>
                <w:sz w:val="18"/>
              </w:rPr>
              <w:t>取扱い</w:t>
            </w:r>
          </w:p>
        </w:tc>
      </w:tr>
      <w:tr>
        <w:tc>
          <w:tcPr>
            <w:tcW w:type="dxa" w:w="3324"/>
          </w:tcPr>
          <w:p>
            <w:r/>
            <w:r>
              <w:rPr>
                <w:rFonts w:eastAsia="Hiragino Sans" w:ascii="Hiragino Sans" w:hAnsi="Hiragino Sans"/>
                <w:b w:val="0"/>
                <w:sz w:val="18"/>
              </w:rPr>
              <w:t>⑤ 人材紹介の早期離職返金</w:t>
            </w:r>
          </w:p>
        </w:tc>
        <w:tc>
          <w:tcPr>
            <w:tcW w:type="dxa" w:w="3324"/>
          </w:tcPr>
          <w:p>
            <w:r/>
            <w:r>
              <w:rPr>
                <w:rFonts w:eastAsia="Hiragino Sans" w:ascii="Hiragino Sans" w:hAnsi="Hiragino Sans"/>
                <w:b w:val="0"/>
                <w:sz w:val="18"/>
              </w:rPr>
              <w:t>期待値法（過去の離職率の実績分布に基づく）</w:t>
            </w:r>
          </w:p>
        </w:tc>
        <w:tc>
          <w:tcPr>
            <w:tcW w:type="dxa" w:w="3324"/>
          </w:tcPr>
          <w:p>
            <w:r/>
            <w:r>
              <w:rPr>
                <w:rFonts w:eastAsia="Hiragino Sans" w:ascii="Hiragino Sans" w:hAnsi="Hiragino Sans"/>
                <w:b w:val="0"/>
                <w:sz w:val="18"/>
              </w:rPr>
              <w:t>返金見込額を</w:t>
            </w:r>
            <w:r>
              <w:rPr>
                <w:rFonts w:eastAsia="Hiragino Sans" w:ascii="Hiragino Sans" w:hAnsi="Hiragino Sans"/>
                <w:b/>
                <w:sz w:val="18"/>
              </w:rPr>
              <w:t>返金負債</w:t>
            </w:r>
            <w:r>
              <w:rPr>
                <w:rFonts w:eastAsia="Hiragino Sans" w:ascii="Hiragino Sans" w:hAnsi="Hiragino Sans"/>
                <w:b w:val="0"/>
                <w:sz w:val="18"/>
              </w:rPr>
              <w:t>として計上し、収益から控除（第53項）</w:t>
            </w:r>
          </w:p>
        </w:tc>
      </w:tr>
      <w:tr>
        <w:tc>
          <w:tcPr>
            <w:tcW w:type="dxa" w:w="3324"/>
            <w:shd w:val="clear" w:fill="F7F8FA"/>
          </w:tcPr>
          <w:p>
            <w:r/>
            <w:r>
              <w:rPr>
                <w:rFonts w:eastAsia="Hiragino Sans" w:ascii="Hiragino Sans" w:hAnsi="Hiragino Sans"/>
                <w:b w:val="0"/>
                <w:sz w:val="18"/>
              </w:rPr>
              <w:t>① 業務受託のSLA未達による減額</w:t>
            </w:r>
          </w:p>
        </w:tc>
        <w:tc>
          <w:tcPr>
            <w:tcW w:type="dxa" w:w="3324"/>
            <w:shd w:val="clear" w:fill="F7F8FA"/>
          </w:tcPr>
          <w:p>
            <w:r/>
            <w:r>
              <w:rPr>
                <w:rFonts w:eastAsia="Hiragino Sans" w:ascii="Hiragino Sans" w:hAnsi="Hiragino Sans"/>
                <w:b w:val="0"/>
                <w:sz w:val="18"/>
              </w:rPr>
              <w:t>最頻値法（減額されるか否かの二択のため）</w:t>
            </w:r>
          </w:p>
        </w:tc>
        <w:tc>
          <w:tcPr>
            <w:tcW w:type="dxa" w:w="3324"/>
            <w:shd w:val="clear" w:fill="F7F8FA"/>
          </w:tcPr>
          <w:p>
            <w:r/>
            <w:r>
              <w:rPr>
                <w:rFonts w:eastAsia="Hiragino Sans" w:ascii="Hiragino Sans" w:hAnsi="Hiragino Sans"/>
                <w:b w:val="0"/>
                <w:sz w:val="18"/>
              </w:rPr>
              <w:t>減額見込額を取引価格から除外（第54項）</w:t>
            </w:r>
          </w:p>
        </w:tc>
      </w:tr>
      <w:tr>
        <w:tc>
          <w:tcPr>
            <w:tcW w:type="dxa" w:w="3324"/>
          </w:tcPr>
          <w:p>
            <w:r/>
            <w:r>
              <w:rPr>
                <w:rFonts w:eastAsia="Hiragino Sans" w:ascii="Hiragino Sans" w:hAnsi="Hiragino Sans"/>
                <w:b w:val="0"/>
                <w:sz w:val="18"/>
              </w:rPr>
              <w:t>② コンサルの成果連動フィー</w:t>
            </w:r>
          </w:p>
        </w:tc>
        <w:tc>
          <w:tcPr>
            <w:tcW w:type="dxa" w:w="3324"/>
          </w:tcPr>
          <w:p>
            <w:r/>
            <w:r>
              <w:rPr>
                <w:rFonts w:eastAsia="Hiragino Sans" w:ascii="Hiragino Sans" w:hAnsi="Hiragino Sans"/>
                <w:b w:val="0"/>
                <w:sz w:val="18"/>
              </w:rPr>
              <w:t>期待値法</w:t>
            </w:r>
          </w:p>
        </w:tc>
        <w:tc>
          <w:tcPr>
            <w:tcW w:type="dxa" w:w="3324"/>
          </w:tcPr>
          <w:p>
            <w:r/>
            <w:r>
              <w:rPr>
                <w:rFonts w:eastAsia="Hiragino Sans" w:ascii="Hiragino Sans" w:hAnsi="Hiragino Sans"/>
                <w:b w:val="0"/>
                <w:sz w:val="18"/>
              </w:rPr>
              <w:t>著しい減額が発生しない可能性が高い部分に限り取引価格に含める（第54項）</w:t>
            </w:r>
          </w:p>
        </w:tc>
      </w:tr>
    </w:tbl>
    <w:p>
      <w:pPr>
        <w:spacing w:after="40"/>
      </w:pPr>
    </w:p>
    <w:p>
      <w:pPr>
        <w:jc w:val="center"/>
      </w:pPr>
      <w:r>
        <w:t>────────────────────────────────────────</w:t>
      </w:r>
    </w:p>
    <w:p>
      <w:pPr>
        <w:pStyle w:val="Heading1"/>
      </w:pPr>
      <w:r>
        <w:t>第7章　契約資産・契約負債・債権</w:t>
      </w:r>
    </w:p>
    <w:tbl>
      <w:tblPr>
        <w:tblStyle w:val="TableGrid"/>
        <w:tblW w:type="auto" w:w="0"/>
        <w:jc w:val="center"/>
        <w:tblLayout w:type="autofit"/>
        <w:tblLook w:firstColumn="1" w:firstRow="1" w:lastColumn="0" w:lastRow="0" w:noHBand="0" w:noVBand="1" w:val="04A0"/>
      </w:tblPr>
      <w:tblGrid>
        <w:gridCol w:w="2493"/>
        <w:gridCol w:w="2493"/>
        <w:gridCol w:w="2493"/>
        <w:gridCol w:w="2493"/>
      </w:tblGrid>
      <w:tr>
        <w:tc>
          <w:tcPr>
            <w:tcW w:type="dxa" w:w="2493"/>
            <w:shd w:val="clear" w:fill="24406B"/>
          </w:tcPr>
          <w:p>
            <w:r/>
            <w:r>
              <w:rPr>
                <w:rFonts w:eastAsia="Hiragino Sans" w:ascii="Hiragino Sans" w:hAnsi="Hiragino Sans"/>
                <w:b/>
                <w:color w:val="FFFFFF"/>
                <w:sz w:val="18"/>
              </w:rPr>
              <w:t>用語</w:t>
            </w:r>
          </w:p>
        </w:tc>
        <w:tc>
          <w:tcPr>
            <w:tcW w:type="dxa" w:w="2493"/>
            <w:shd w:val="clear" w:fill="24406B"/>
          </w:tcPr>
          <w:p>
            <w:r/>
            <w:r>
              <w:rPr>
                <w:rFonts w:eastAsia="Hiragino Sans" w:ascii="Hiragino Sans" w:hAnsi="Hiragino Sans"/>
                <w:b/>
                <w:color w:val="FFFFFF"/>
                <w:sz w:val="18"/>
              </w:rPr>
              <w:t>定義</w:t>
            </w:r>
          </w:p>
        </w:tc>
        <w:tc>
          <w:tcPr>
            <w:tcW w:type="dxa" w:w="2493"/>
            <w:shd w:val="clear" w:fill="24406B"/>
          </w:tcPr>
          <w:p>
            <w:r/>
            <w:r>
              <w:rPr>
                <w:rFonts w:eastAsia="Hiragino Sans" w:ascii="Hiragino Sans" w:hAnsi="Hiragino Sans"/>
                <w:b/>
                <w:color w:val="FFFFFF"/>
                <w:sz w:val="18"/>
              </w:rPr>
              <w:t>根拠</w:t>
            </w:r>
          </w:p>
        </w:tc>
        <w:tc>
          <w:tcPr>
            <w:tcW w:type="dxa" w:w="2493"/>
            <w:shd w:val="clear" w:fill="24406B"/>
          </w:tcPr>
          <w:p>
            <w:r/>
            <w:r>
              <w:rPr>
                <w:rFonts w:eastAsia="Hiragino Sans" w:ascii="Hiragino Sans" w:hAnsi="Hiragino Sans"/>
                <w:b/>
                <w:color w:val="FFFFFF"/>
                <w:sz w:val="18"/>
              </w:rPr>
              <w:t>当社での例</w:t>
            </w:r>
          </w:p>
        </w:tc>
      </w:tr>
      <w:tr>
        <w:tc>
          <w:tcPr>
            <w:tcW w:type="dxa" w:w="2493"/>
          </w:tcPr>
          <w:p>
            <w:r/>
            <w:r>
              <w:rPr>
                <w:rFonts w:eastAsia="Hiragino Sans" w:ascii="Hiragino Sans" w:hAnsi="Hiragino Sans"/>
                <w:b w:val="0"/>
                <w:sz w:val="18"/>
              </w:rPr>
              <w:t>契約資産</w:t>
            </w:r>
          </w:p>
        </w:tc>
        <w:tc>
          <w:tcPr>
            <w:tcW w:type="dxa" w:w="2493"/>
          </w:tcPr>
          <w:p>
            <w:r/>
            <w:r>
              <w:rPr>
                <w:rFonts w:eastAsia="Hiragino Sans" w:ascii="Hiragino Sans" w:hAnsi="Hiragino Sans"/>
                <w:b w:val="0"/>
                <w:sz w:val="18"/>
              </w:rPr>
              <w:t>企業が顧客に移転した財又はサービスと交換に受け取る対価に対する権利のうち、</w:t>
            </w:r>
            <w:r>
              <w:rPr>
                <w:rFonts w:eastAsia="Hiragino Sans" w:ascii="Hiragino Sans" w:hAnsi="Hiragino Sans"/>
                <w:b/>
                <w:sz w:val="18"/>
              </w:rPr>
              <w:t>顧客との契約から生じた債権を除く</w:t>
            </w:r>
            <w:r>
              <w:rPr>
                <w:rFonts w:eastAsia="Hiragino Sans" w:ascii="Hiragino Sans" w:hAnsi="Hiragino Sans"/>
                <w:b w:val="0"/>
                <w:sz w:val="18"/>
              </w:rPr>
              <w:t>もの</w:t>
            </w:r>
          </w:p>
        </w:tc>
        <w:tc>
          <w:tcPr>
            <w:tcW w:type="dxa" w:w="2493"/>
          </w:tcPr>
          <w:p>
            <w:r/>
            <w:r>
              <w:rPr>
                <w:rFonts w:eastAsia="Hiragino Sans" w:ascii="Hiragino Sans" w:hAnsi="Hiragino Sans"/>
                <w:b w:val="0"/>
                <w:sz w:val="18"/>
              </w:rPr>
              <w:t>第10項</w:t>
            </w:r>
          </w:p>
        </w:tc>
        <w:tc>
          <w:tcPr>
            <w:tcW w:type="dxa" w:w="2493"/>
          </w:tcPr>
          <w:p>
            <w:r/>
            <w:r>
              <w:rPr>
                <w:rFonts w:eastAsia="Hiragino Sans" w:ascii="Hiragino Sans" w:hAnsi="Hiragino Sans"/>
                <w:b w:val="0"/>
                <w:sz w:val="18"/>
              </w:rPr>
              <w:t>期末までに提供したが請求月が翌月となる稼働分</w:t>
            </w:r>
          </w:p>
        </w:tc>
      </w:tr>
      <w:tr>
        <w:tc>
          <w:tcPr>
            <w:tcW w:type="dxa" w:w="2493"/>
            <w:shd w:val="clear" w:fill="F7F8FA"/>
          </w:tcPr>
          <w:p>
            <w:r/>
            <w:r>
              <w:rPr>
                <w:rFonts w:eastAsia="Hiragino Sans" w:ascii="Hiragino Sans" w:hAnsi="Hiragino Sans"/>
                <w:b w:val="0"/>
                <w:sz w:val="18"/>
              </w:rPr>
              <w:t>契約負債</w:t>
            </w:r>
          </w:p>
        </w:tc>
        <w:tc>
          <w:tcPr>
            <w:tcW w:type="dxa" w:w="2493"/>
            <w:shd w:val="clear" w:fill="F7F8FA"/>
          </w:tcPr>
          <w:p>
            <w:r/>
            <w:r>
              <w:rPr>
                <w:rFonts w:eastAsia="Hiragino Sans" w:ascii="Hiragino Sans" w:hAnsi="Hiragino Sans"/>
                <w:b w:val="0"/>
                <w:sz w:val="18"/>
              </w:rPr>
              <w:t>財又はサービスを顧客に移転する企業の義務に対して、企業が顧客から対価を受け取ったもの又は対価を受け取る期限が到来しているもの</w:t>
            </w:r>
          </w:p>
        </w:tc>
        <w:tc>
          <w:tcPr>
            <w:tcW w:type="dxa" w:w="2493"/>
            <w:shd w:val="clear" w:fill="F7F8FA"/>
          </w:tcPr>
          <w:p>
            <w:r/>
            <w:r>
              <w:rPr>
                <w:rFonts w:eastAsia="Hiragino Sans" w:ascii="Hiragino Sans" w:hAnsi="Hiragino Sans"/>
                <w:b w:val="0"/>
                <w:sz w:val="18"/>
              </w:rPr>
              <w:t>第11項</w:t>
            </w:r>
          </w:p>
        </w:tc>
        <w:tc>
          <w:tcPr>
            <w:tcW w:type="dxa" w:w="2493"/>
            <w:shd w:val="clear" w:fill="F7F8FA"/>
          </w:tcPr>
          <w:p>
            <w:r/>
            <w:r>
              <w:rPr>
                <w:rFonts w:eastAsia="Hiragino Sans" w:ascii="Hiragino Sans" w:hAnsi="Hiragino Sans"/>
                <w:b w:val="0"/>
                <w:sz w:val="18"/>
              </w:rPr>
              <w:t>保守運用の年額前受分</w:t>
            </w:r>
          </w:p>
        </w:tc>
      </w:tr>
      <w:tr>
        <w:tc>
          <w:tcPr>
            <w:tcW w:type="dxa" w:w="2493"/>
          </w:tcPr>
          <w:p>
            <w:r/>
            <w:r>
              <w:rPr>
                <w:rFonts w:eastAsia="Hiragino Sans" w:ascii="Hiragino Sans" w:hAnsi="Hiragino Sans"/>
                <w:b w:val="0"/>
                <w:sz w:val="18"/>
              </w:rPr>
              <w:t>顧客との契約から生じた債権</w:t>
            </w:r>
          </w:p>
        </w:tc>
        <w:tc>
          <w:tcPr>
            <w:tcW w:type="dxa" w:w="2493"/>
          </w:tcPr>
          <w:p>
            <w:r/>
            <w:r>
              <w:rPr>
                <w:rFonts w:eastAsia="Hiragino Sans" w:ascii="Hiragino Sans" w:hAnsi="Hiragino Sans"/>
                <w:b w:val="0"/>
                <w:sz w:val="18"/>
              </w:rPr>
              <w:t>企業が顧客に移転した財又はサービスと交換に受け取る対価に対する企業の権利のうち</w:t>
            </w:r>
            <w:r>
              <w:rPr>
                <w:rFonts w:eastAsia="Hiragino Sans" w:ascii="Hiragino Sans" w:hAnsi="Hiragino Sans"/>
                <w:b/>
                <w:sz w:val="18"/>
              </w:rPr>
              <w:t>無条件のもの</w:t>
            </w:r>
          </w:p>
        </w:tc>
        <w:tc>
          <w:tcPr>
            <w:tcW w:type="dxa" w:w="2493"/>
          </w:tcPr>
          <w:p>
            <w:r/>
            <w:r>
              <w:rPr>
                <w:rFonts w:eastAsia="Hiragino Sans" w:ascii="Hiragino Sans" w:hAnsi="Hiragino Sans"/>
                <w:b w:val="0"/>
                <w:sz w:val="18"/>
              </w:rPr>
              <w:t>第12項</w:t>
            </w:r>
          </w:p>
        </w:tc>
        <w:tc>
          <w:tcPr>
            <w:tcW w:type="dxa" w:w="2493"/>
          </w:tcPr>
          <w:p>
            <w:r/>
            <w:r>
              <w:rPr>
                <w:rFonts w:eastAsia="Hiragino Sans" w:ascii="Hiragino Sans" w:hAnsi="Hiragino Sans"/>
                <w:b w:val="0"/>
                <w:sz w:val="18"/>
              </w:rPr>
              <w:t>請求済みの売掛金</w:t>
            </w:r>
          </w:p>
        </w:tc>
      </w:tr>
    </w:tbl>
    <w:p>
      <w:pPr>
        <w:spacing w:after="40"/>
      </w:pPr>
    </w:p>
    <w:p>
      <w:pPr>
        <w:pStyle w:val="ListBullet"/>
        <w:ind w:left="240"/>
      </w:pPr>
      <w:r>
        <w:rPr>
          <w:rFonts w:eastAsia="Hiragino Sans" w:ascii="Hiragino Sans" w:hAnsi="Hiragino Sans"/>
          <w:b w:val="0"/>
          <w:sz w:val="20"/>
        </w:rPr>
        <w:t>契約資産または債権の計上は第77項による。本会計基準に定めのない契約資産の会計処理は、金融商品会計基準における債権の取扱いに準じる。外貨建ての場合の換算は外貨建取引等会計処理基準に準じる。</w:t>
      </w:r>
    </w:p>
    <w:p>
      <w:pPr>
        <w:pStyle w:val="ListBullet"/>
        <w:ind w:left="240"/>
      </w:pPr>
      <w:r>
        <w:rPr>
          <w:rFonts w:eastAsia="Hiragino Sans" w:ascii="Hiragino Sans" w:hAnsi="Hiragino Sans"/>
          <w:b w:val="0"/>
          <w:sz w:val="20"/>
        </w:rPr>
        <w:t>契約負債の会計処理は第78項による。</w:t>
      </w:r>
    </w:p>
    <w:p>
      <w:pPr>
        <w:ind w:left="120"/>
        <w:shd w:val="clear" w:fill="F3F4F6"/>
        <w:pBdr>
          <w:left w:val="single" w:sz="18" w:space="6" w:color="24406B"/>
        </w:pBdr>
      </w:pPr>
      <w:r>
        <w:rPr>
          <w:rFonts w:eastAsia="Hiragino Sans" w:ascii="Hiragino Sans" w:hAnsi="Hiragino Sans"/>
          <w:b w:val="0"/>
          <w:i/>
          <w:color w:val="444444"/>
          <w:sz w:val="18"/>
        </w:rPr>
        <w:t>チェック観点: 契約資産と債権の違いは「請求書を出したかどうか」ではなく「対価に対する権利が</w:t>
      </w:r>
      <w:r>
        <w:rPr>
          <w:rFonts w:eastAsia="Hiragino Sans" w:ascii="Hiragino Sans" w:hAnsi="Hiragino Sans"/>
          <w:b/>
          <w:i/>
          <w:color w:val="444444"/>
          <w:sz w:val="18"/>
        </w:rPr>
        <w:t>無条件か</w:t>
      </w:r>
      <w:r>
        <w:rPr>
          <w:rFonts w:eastAsia="Hiragino Sans" w:ascii="Hiragino Sans" w:hAnsi="Hiragino Sans"/>
          <w:b w:val="0"/>
          <w:i/>
          <w:color w:val="444444"/>
          <w:sz w:val="18"/>
        </w:rPr>
        <w:t>」である。稼働は済んだが顧客の検収が請求の条件になっている場合は、検収前は契約資産である。債権の増減は収益認識額ではなく</w:t>
      </w:r>
      <w:r>
        <w:rPr>
          <w:rFonts w:eastAsia="Hiragino Sans" w:ascii="Hiragino Sans" w:hAnsi="Hiragino Sans"/>
          <w:b/>
          <w:i/>
          <w:color w:val="444444"/>
          <w:sz w:val="18"/>
        </w:rPr>
        <w:t>無条件の権利が発生した額（請求ベース）</w:t>
      </w:r>
      <w:r>
        <w:rPr>
          <w:rFonts w:eastAsia="Hiragino Sans" w:ascii="Hiragino Sans" w:hAnsi="Hiragino Sans"/>
          <w:b w:val="0"/>
          <w:i/>
          <w:color w:val="444444"/>
          <w:sz w:val="18"/>
        </w:rPr>
        <w:t>で把握し、契約資産からの振替額が契約資産の減少額と一致することを確かめる。</w:t>
      </w:r>
    </w:p>
    <w:p>
      <w:pPr>
        <w:jc w:val="center"/>
      </w:pPr>
      <w:r>
        <w:t>────────────────────────────────────────</w:t>
      </w:r>
    </w:p>
    <w:p>
      <w:pPr>
        <w:pStyle w:val="Heading1"/>
      </w:pPr>
      <w:r>
        <w:t>第8章　表示及び注記</w:t>
      </w:r>
    </w:p>
    <w:p>
      <w:pPr>
        <w:pStyle w:val="Heading2"/>
      </w:pPr>
      <w:r>
        <w:t>8-1　表示</w:t>
      </w:r>
    </w:p>
    <w:p>
      <w:pPr>
        <w:pStyle w:val="ListBullet"/>
        <w:ind w:left="240"/>
      </w:pPr>
      <w:r>
        <w:rPr>
          <w:rFonts w:eastAsia="Hiragino Sans" w:ascii="Hiragino Sans" w:hAnsi="Hiragino Sans"/>
          <w:b w:val="0"/>
          <w:sz w:val="20"/>
        </w:rPr>
        <w:t>顧客との契約から生じる収益を、適切な科目をもって損益計算書に表示する。それ以外の収益と区分して表示しない場合には、収益の額を注記する（第78-2項）。</w:t>
      </w:r>
    </w:p>
    <w:p>
      <w:pPr>
        <w:pStyle w:val="ListBullet"/>
        <w:ind w:left="240"/>
      </w:pPr>
      <w:r>
        <w:rPr>
          <w:rFonts w:eastAsia="Hiragino Sans" w:ascii="Hiragino Sans" w:hAnsi="Hiragino Sans"/>
          <w:b w:val="0"/>
          <w:sz w:val="20"/>
        </w:rPr>
        <w:t>重要な金融要素がある場合、顧客との契約から生じる収益と金融要素の影響（利息収益又は利息費用）を区分して表示する（第78-3項）。</w:t>
      </w:r>
    </w:p>
    <w:p>
      <w:pPr>
        <w:pStyle w:val="ListBullet"/>
        <w:ind w:left="240"/>
      </w:pPr>
      <w:r>
        <w:rPr>
          <w:rFonts w:eastAsia="Hiragino Sans" w:ascii="Hiragino Sans" w:hAnsi="Hiragino Sans"/>
          <w:b w:val="0"/>
          <w:sz w:val="20"/>
        </w:rPr>
        <w:t>契約資産・契約負債・顧客との契約から生じた債権を、適切な科目をもって貸借対照表に表示する。区分して表示しない場合には、それぞれの残高を注記する（第79項）。</w:t>
      </w:r>
    </w:p>
    <w:p>
      <w:pPr>
        <w:pStyle w:val="ListBullet"/>
        <w:ind w:left="240"/>
      </w:pPr>
      <w:r>
        <w:rPr>
          <w:rFonts w:eastAsia="Hiragino Sans" w:ascii="Hiragino Sans" w:hAnsi="Hiragino Sans"/>
          <w:b w:val="0"/>
          <w:sz w:val="20"/>
        </w:rPr>
        <w:t>科目名の例は適用指針 第104-2項（売上高・売上収益・営業収益等）及び第104-3項（契約資産・工事未収入金等／契約負債・前受金等／売掛金・営業債権等）による。</w:t>
      </w:r>
    </w:p>
    <w:p>
      <w:pPr>
        <w:pStyle w:val="Heading2"/>
      </w:pPr>
      <w:r>
        <w:t>8-2　注記（重要な会計方針）</w:t>
      </w:r>
    </w:p>
    <w:p>
      <w:pPr>
        <w:spacing w:after="80"/>
      </w:pPr>
      <w:r>
        <w:rPr>
          <w:rFonts w:eastAsia="Hiragino Sans" w:ascii="Hiragino Sans" w:hAnsi="Hiragino Sans"/>
          <w:b w:val="0"/>
          <w:i w:val="0"/>
        </w:rPr>
        <w:t>顧客との契約から生じる収益に関する重要な会計方針として、次を注記する（第80-2項）。</w:t>
      </w:r>
    </w:p>
    <w:p>
      <w:pPr>
        <w:pStyle w:val="ListBullet"/>
        <w:ind w:left="240"/>
      </w:pPr>
      <w:r>
        <w:rPr>
          <w:rFonts w:eastAsia="Hiragino Sans" w:ascii="Hiragino Sans" w:hAnsi="Hiragino Sans"/>
          <w:b w:val="0"/>
          <w:sz w:val="20"/>
        </w:rPr>
        <w:t>(1) 企業の主要な事業における主な履行義務の内容</w:t>
      </w:r>
    </w:p>
    <w:p>
      <w:pPr>
        <w:pStyle w:val="ListBullet"/>
        <w:ind w:left="240"/>
      </w:pPr>
      <w:r>
        <w:rPr>
          <w:rFonts w:eastAsia="Hiragino Sans" w:ascii="Hiragino Sans" w:hAnsi="Hiragino Sans"/>
          <w:b w:val="0"/>
          <w:sz w:val="20"/>
        </w:rPr>
        <w:t>(2) 企業が当該履行義務を充足する通常の時点（収益を認識する通常の時点）</w:t>
      </w:r>
    </w:p>
    <w:p>
      <w:pPr>
        <w:spacing w:after="80"/>
      </w:pPr>
      <w:r>
        <w:rPr>
          <w:rFonts w:eastAsia="Hiragino Sans" w:ascii="Hiragino Sans" w:hAnsi="Hiragino Sans"/>
          <w:b w:val="0"/>
          <w:i w:val="0"/>
        </w:rPr>
        <w:t>上記以外に重要な会計方針に含まれると判断した内容も注記する（第80-3項）。当社は、進捗度の見積方法と、適用指針第19項・第99項の取扱いを採用している旨を注記する。</w:t>
      </w:r>
    </w:p>
    <w:p>
      <w:pPr>
        <w:jc w:val="center"/>
      </w:pPr>
      <w:r>
        <w:t>────────────────────────────────────────</w:t>
      </w:r>
    </w:p>
    <w:p>
      <w:pPr>
        <w:pStyle w:val="Heading1"/>
      </w:pPr>
      <w:r>
        <w:t>第9章　誤って適用しやすい取扱い（当社では使えないもの）</w:t>
      </w:r>
    </w:p>
    <w:p>
      <w:pPr>
        <w:spacing w:after="80"/>
      </w:pPr>
      <w:r>
        <w:rPr>
          <w:rFonts w:eastAsia="Hiragino Sans" w:ascii="Hiragino Sans" w:hAnsi="Hiragino Sans"/>
          <w:b w:val="0"/>
          <w:i w:val="0"/>
        </w:rPr>
        <w:t>重要性等に関する代替的な取扱いは適用指針第92項から第104項に定められている（本会計基準 第18項）。このうち、</w:t>
      </w:r>
      <w:r>
        <w:rPr>
          <w:rFonts w:eastAsia="Hiragino Sans" w:ascii="Hiragino Sans" w:hAnsi="Hiragino Sans"/>
          <w:b/>
          <w:i w:val="0"/>
        </w:rPr>
        <w:t>対象が限定されており当社の役務提供には使えないもの</w:t>
      </w:r>
      <w:r>
        <w:rPr>
          <w:rFonts w:eastAsia="Hiragino Sans" w:ascii="Hiragino Sans" w:hAnsi="Hiragino Sans"/>
          <w:b w:val="0"/>
          <w:i w:val="0"/>
        </w:rPr>
        <w:t>を明記する。実務で最も誤用されやすい箇所である。</w:t>
      </w:r>
    </w:p>
    <w:tbl>
      <w:tblPr>
        <w:tblStyle w:val="TableGrid"/>
        <w:tblW w:type="auto" w:w="0"/>
        <w:jc w:val="center"/>
        <w:tblLayout w:type="autofit"/>
        <w:tblLook w:firstColumn="1" w:firstRow="1" w:lastColumn="0" w:lastRow="0" w:noHBand="0" w:noVBand="1" w:val="04A0"/>
      </w:tblPr>
      <w:tblGrid>
        <w:gridCol w:w="2493"/>
        <w:gridCol w:w="2493"/>
        <w:gridCol w:w="2493"/>
        <w:gridCol w:w="2493"/>
      </w:tblGrid>
      <w:tr>
        <w:tc>
          <w:tcPr>
            <w:tcW w:type="dxa" w:w="2493"/>
            <w:shd w:val="clear" w:fill="24406B"/>
          </w:tcPr>
          <w:p>
            <w:r/>
            <w:r>
              <w:rPr>
                <w:rFonts w:eastAsia="Hiragino Sans" w:ascii="Hiragino Sans" w:hAnsi="Hiragino Sans"/>
                <w:b/>
                <w:color w:val="FFFFFF"/>
                <w:sz w:val="18"/>
              </w:rPr>
              <w:t>取扱い</w:t>
            </w:r>
          </w:p>
        </w:tc>
        <w:tc>
          <w:tcPr>
            <w:tcW w:type="dxa" w:w="2493"/>
            <w:shd w:val="clear" w:fill="24406B"/>
          </w:tcPr>
          <w:p>
            <w:r/>
            <w:r>
              <w:rPr>
                <w:rFonts w:eastAsia="Hiragino Sans" w:ascii="Hiragino Sans" w:hAnsi="Hiragino Sans"/>
                <w:b/>
                <w:color w:val="FFFFFF"/>
                <w:sz w:val="18"/>
              </w:rPr>
              <w:t>内容</w:t>
            </w:r>
          </w:p>
        </w:tc>
        <w:tc>
          <w:tcPr>
            <w:tcW w:type="dxa" w:w="2493"/>
            <w:shd w:val="clear" w:fill="24406B"/>
          </w:tcPr>
          <w:p>
            <w:r/>
            <w:r>
              <w:rPr>
                <w:rFonts w:eastAsia="Hiragino Sans" w:ascii="Hiragino Sans" w:hAnsi="Hiragino Sans"/>
                <w:b/>
                <w:color w:val="FFFFFF"/>
                <w:sz w:val="18"/>
              </w:rPr>
              <w:t>対象</w:t>
            </w:r>
          </w:p>
        </w:tc>
        <w:tc>
          <w:tcPr>
            <w:tcW w:type="dxa" w:w="2493"/>
            <w:shd w:val="clear" w:fill="24406B"/>
          </w:tcPr>
          <w:p>
            <w:r/>
            <w:r>
              <w:rPr>
                <w:rFonts w:eastAsia="Hiragino Sans" w:ascii="Hiragino Sans" w:hAnsi="Hiragino Sans"/>
                <w:b/>
                <w:color w:val="FFFFFF"/>
                <w:sz w:val="18"/>
              </w:rPr>
              <w:t>当社での可否</w:t>
            </w:r>
          </w:p>
        </w:tc>
      </w:tr>
      <w:tr>
        <w:tc>
          <w:tcPr>
            <w:tcW w:type="dxa" w:w="2493"/>
          </w:tcPr>
          <w:p>
            <w:r/>
            <w:r>
              <w:rPr>
                <w:rFonts w:eastAsia="Hiragino Sans" w:ascii="Hiragino Sans" w:hAnsi="Hiragino Sans"/>
                <w:b w:val="0"/>
                <w:sz w:val="18"/>
              </w:rPr>
              <w:t>適用指針 第95項</w:t>
            </w:r>
          </w:p>
        </w:tc>
        <w:tc>
          <w:tcPr>
            <w:tcW w:type="dxa" w:w="2493"/>
          </w:tcPr>
          <w:p>
            <w:r/>
            <w:r>
              <w:rPr>
                <w:rFonts w:eastAsia="Hiragino Sans" w:ascii="Hiragino Sans" w:hAnsi="Hiragino Sans"/>
                <w:b w:val="0"/>
                <w:sz w:val="18"/>
              </w:rPr>
              <w:t>期間がごく短い場合に完全に履行義務を充足した時点で収益認識</w:t>
            </w:r>
          </w:p>
        </w:tc>
        <w:tc>
          <w:tcPr>
            <w:tcW w:type="dxa" w:w="2493"/>
          </w:tcPr>
          <w:p>
            <w:r/>
            <w:r>
              <w:rPr>
                <w:rFonts w:eastAsia="Hiragino Sans" w:ascii="Hiragino Sans" w:hAnsi="Hiragino Sans"/>
                <w:b/>
                <w:sz w:val="18"/>
              </w:rPr>
              <w:t>工事契約に限定</w:t>
            </w:r>
          </w:p>
        </w:tc>
        <w:tc>
          <w:tcPr>
            <w:tcW w:type="dxa" w:w="2493"/>
          </w:tcPr>
          <w:p>
            <w:r/>
            <w:r>
              <w:rPr>
                <w:rFonts w:eastAsia="Hiragino Sans" w:ascii="Hiragino Sans" w:hAnsi="Hiragino Sans"/>
                <w:b w:val="0"/>
                <w:sz w:val="18"/>
              </w:rPr>
              <w:t>✕ 使えない</w:t>
            </w:r>
          </w:p>
        </w:tc>
      </w:tr>
      <w:tr>
        <w:tc>
          <w:tcPr>
            <w:tcW w:type="dxa" w:w="2493"/>
            <w:shd w:val="clear" w:fill="F7F8FA"/>
          </w:tcPr>
          <w:p>
            <w:r/>
            <w:r>
              <w:rPr>
                <w:rFonts w:eastAsia="Hiragino Sans" w:ascii="Hiragino Sans" w:hAnsi="Hiragino Sans"/>
                <w:b w:val="0"/>
                <w:sz w:val="18"/>
              </w:rPr>
              <w:t>適用指針 第96項</w:t>
            </w:r>
          </w:p>
        </w:tc>
        <w:tc>
          <w:tcPr>
            <w:tcW w:type="dxa" w:w="2493"/>
            <w:shd w:val="clear" w:fill="F7F8FA"/>
          </w:tcPr>
          <w:p>
            <w:r/>
            <w:r>
              <w:rPr>
                <w:rFonts w:eastAsia="Hiragino Sans" w:ascii="Hiragino Sans" w:hAnsi="Hiragino Sans"/>
                <w:b w:val="0"/>
                <w:sz w:val="18"/>
              </w:rPr>
              <w:t>同上</w:t>
            </w:r>
          </w:p>
        </w:tc>
        <w:tc>
          <w:tcPr>
            <w:tcW w:type="dxa" w:w="2493"/>
            <w:shd w:val="clear" w:fill="F7F8FA"/>
          </w:tcPr>
          <w:p>
            <w:r/>
            <w:r>
              <w:rPr>
                <w:rFonts w:eastAsia="Hiragino Sans" w:ascii="Hiragino Sans" w:hAnsi="Hiragino Sans"/>
                <w:b/>
                <w:sz w:val="18"/>
              </w:rPr>
              <w:t>受注制作のソフトウェアに限定</w:t>
            </w:r>
          </w:p>
        </w:tc>
        <w:tc>
          <w:tcPr>
            <w:tcW w:type="dxa" w:w="2493"/>
            <w:shd w:val="clear" w:fill="F7F8FA"/>
          </w:tcPr>
          <w:p>
            <w:r/>
            <w:r>
              <w:rPr>
                <w:rFonts w:eastAsia="Hiragino Sans" w:ascii="Hiragino Sans" w:hAnsi="Hiragino Sans"/>
                <w:b w:val="0"/>
                <w:sz w:val="18"/>
              </w:rPr>
              <w:t>✕ 使えない</w:t>
            </w:r>
          </w:p>
        </w:tc>
      </w:tr>
      <w:tr>
        <w:tc>
          <w:tcPr>
            <w:tcW w:type="dxa" w:w="2493"/>
          </w:tcPr>
          <w:p>
            <w:r/>
            <w:r>
              <w:rPr>
                <w:rFonts w:eastAsia="Hiragino Sans" w:ascii="Hiragino Sans" w:hAnsi="Hiragino Sans"/>
                <w:b w:val="0"/>
                <w:sz w:val="18"/>
              </w:rPr>
              <w:t>適用指針 第97項</w:t>
            </w:r>
          </w:p>
        </w:tc>
        <w:tc>
          <w:tcPr>
            <w:tcW w:type="dxa" w:w="2493"/>
          </w:tcPr>
          <w:p>
            <w:r/>
            <w:r>
              <w:rPr>
                <w:rFonts w:eastAsia="Hiragino Sans" w:ascii="Hiragino Sans" w:hAnsi="Hiragino Sans"/>
                <w:b w:val="0"/>
                <w:sz w:val="18"/>
              </w:rPr>
              <w:t>一航海の期間が通常の期間である場合に、船舶の一航海を単一の履行義務として当該期間にわたり収益認識できる取扱い</w:t>
            </w:r>
          </w:p>
        </w:tc>
        <w:tc>
          <w:tcPr>
            <w:tcW w:type="dxa" w:w="2493"/>
          </w:tcPr>
          <w:p>
            <w:r/>
            <w:r>
              <w:rPr>
                <w:rFonts w:eastAsia="Hiragino Sans" w:ascii="Hiragino Sans" w:hAnsi="Hiragino Sans"/>
                <w:b/>
                <w:sz w:val="18"/>
              </w:rPr>
              <w:t>船舶による運送サービスに限定</w:t>
            </w:r>
          </w:p>
        </w:tc>
        <w:tc>
          <w:tcPr>
            <w:tcW w:type="dxa" w:w="2493"/>
          </w:tcPr>
          <w:p>
            <w:r/>
            <w:r>
              <w:rPr>
                <w:rFonts w:eastAsia="Hiragino Sans" w:ascii="Hiragino Sans" w:hAnsi="Hiragino Sans"/>
                <w:b w:val="0"/>
                <w:sz w:val="18"/>
              </w:rPr>
              <w:t>✕ 使えない</w:t>
            </w:r>
          </w:p>
        </w:tc>
      </w:tr>
      <w:tr>
        <w:tc>
          <w:tcPr>
            <w:tcW w:type="dxa" w:w="2493"/>
            <w:shd w:val="clear" w:fill="F7F8FA"/>
          </w:tcPr>
          <w:p>
            <w:r/>
            <w:r>
              <w:rPr>
                <w:rFonts w:eastAsia="Hiragino Sans" w:ascii="Hiragino Sans" w:hAnsi="Hiragino Sans"/>
                <w:b w:val="0"/>
                <w:sz w:val="18"/>
              </w:rPr>
              <w:t>適用指針 第98項</w:t>
            </w:r>
          </w:p>
        </w:tc>
        <w:tc>
          <w:tcPr>
            <w:tcW w:type="dxa" w:w="2493"/>
            <w:shd w:val="clear" w:fill="F7F8FA"/>
          </w:tcPr>
          <w:p>
            <w:r/>
            <w:r>
              <w:rPr>
                <w:rFonts w:eastAsia="Hiragino Sans" w:ascii="Hiragino Sans" w:hAnsi="Hiragino Sans"/>
                <w:b w:val="0"/>
                <w:sz w:val="18"/>
              </w:rPr>
              <w:t>出荷時から支配移転時までの期間が通常の期間である場合に出荷時等に収益認識</w:t>
            </w:r>
          </w:p>
        </w:tc>
        <w:tc>
          <w:tcPr>
            <w:tcW w:type="dxa" w:w="2493"/>
            <w:shd w:val="clear" w:fill="F7F8FA"/>
          </w:tcPr>
          <w:p>
            <w:r/>
            <w:r>
              <w:rPr>
                <w:rFonts w:eastAsia="Hiragino Sans" w:ascii="Hiragino Sans" w:hAnsi="Hiragino Sans"/>
                <w:b/>
                <w:sz w:val="18"/>
              </w:rPr>
              <w:t>商品又は製品の国内の販売に限定</w:t>
            </w:r>
          </w:p>
        </w:tc>
        <w:tc>
          <w:tcPr>
            <w:tcW w:type="dxa" w:w="2493"/>
            <w:shd w:val="clear" w:fill="F7F8FA"/>
          </w:tcPr>
          <w:p>
            <w:r/>
            <w:r>
              <w:rPr>
                <w:rFonts w:eastAsia="Hiragino Sans" w:ascii="Hiragino Sans" w:hAnsi="Hiragino Sans"/>
                <w:b w:val="0"/>
                <w:sz w:val="18"/>
              </w:rPr>
              <w:t>✕ 使えない（役務提供は対象外）</w:t>
            </w:r>
          </w:p>
        </w:tc>
      </w:tr>
      <w:tr>
        <w:tc>
          <w:tcPr>
            <w:tcW w:type="dxa" w:w="2493"/>
          </w:tcPr>
          <w:p>
            <w:r/>
            <w:r>
              <w:rPr>
                <w:rFonts w:eastAsia="Hiragino Sans" w:ascii="Hiragino Sans" w:hAnsi="Hiragino Sans"/>
                <w:b w:val="0"/>
                <w:sz w:val="18"/>
              </w:rPr>
              <w:t>適用指針 第102項・第103項</w:t>
            </w:r>
          </w:p>
        </w:tc>
        <w:tc>
          <w:tcPr>
            <w:tcW w:type="dxa" w:w="2493"/>
          </w:tcPr>
          <w:p>
            <w:r/>
            <w:r>
              <w:rPr>
                <w:rFonts w:eastAsia="Hiragino Sans" w:ascii="Hiragino Sans" w:hAnsi="Hiragino Sans"/>
                <w:b w:val="0"/>
                <w:sz w:val="18"/>
              </w:rPr>
              <w:t>複数の契約を結合した場合と個々の契約で処理した場合とで収益認識の時期・金額に重要な差異が生じないときに、複数の契約を結合して単一の履行義務として識別できる取扱い（第102項＝工事契約、第103項＝受注制作のソフトウェア）</w:t>
            </w:r>
          </w:p>
        </w:tc>
        <w:tc>
          <w:tcPr>
            <w:tcW w:type="dxa" w:w="2493"/>
          </w:tcPr>
          <w:p>
            <w:r/>
            <w:r>
              <w:rPr>
                <w:rFonts w:eastAsia="Hiragino Sans" w:ascii="Hiragino Sans" w:hAnsi="Hiragino Sans"/>
                <w:b/>
                <w:sz w:val="18"/>
              </w:rPr>
              <w:t>工事契約・受注制作のソフトウェアに限定</w:t>
            </w:r>
          </w:p>
        </w:tc>
        <w:tc>
          <w:tcPr>
            <w:tcW w:type="dxa" w:w="2493"/>
          </w:tcPr>
          <w:p>
            <w:r/>
            <w:r>
              <w:rPr>
                <w:rFonts w:eastAsia="Hiragino Sans" w:ascii="Hiragino Sans" w:hAnsi="Hiragino Sans"/>
                <w:b w:val="0"/>
                <w:sz w:val="18"/>
              </w:rPr>
              <w:t>✕ 使えない</w:t>
            </w:r>
          </w:p>
        </w:tc>
      </w:tr>
    </w:tbl>
    <w:p>
      <w:pPr>
        <w:spacing w:after="40"/>
      </w:pPr>
    </w:p>
    <w:p>
      <w:pPr>
        <w:spacing w:after="80"/>
      </w:pPr>
      <w:r>
        <w:rPr>
          <w:rFonts w:eastAsia="Hiragino Sans" w:ascii="Hiragino Sans" w:hAnsi="Hiragino Sans"/>
          <w:b w:val="0"/>
          <w:i w:val="0"/>
        </w:rPr>
        <w:t>一方、当社が採用できるものは次のとおり。</w:t>
      </w:r>
    </w:p>
    <w:tbl>
      <w:tblPr>
        <w:tblStyle w:val="TableGrid"/>
        <w:tblW w:type="auto" w:w="0"/>
        <w:jc w:val="center"/>
        <w:tblLayout w:type="autofit"/>
        <w:tblLook w:firstColumn="1" w:firstRow="1" w:lastColumn="0" w:lastRow="0" w:noHBand="0" w:noVBand="1" w:val="04A0"/>
      </w:tblPr>
      <w:tblGrid>
        <w:gridCol w:w="3324"/>
        <w:gridCol w:w="3324"/>
        <w:gridCol w:w="3324"/>
      </w:tblGrid>
      <w:tr>
        <w:tc>
          <w:tcPr>
            <w:tcW w:type="dxa" w:w="3324"/>
            <w:shd w:val="clear" w:fill="24406B"/>
          </w:tcPr>
          <w:p>
            <w:r/>
            <w:r>
              <w:rPr>
                <w:rFonts w:eastAsia="Hiragino Sans" w:ascii="Hiragino Sans" w:hAnsi="Hiragino Sans"/>
                <w:b/>
                <w:color w:val="FFFFFF"/>
                <w:sz w:val="18"/>
              </w:rPr>
              <w:t>取扱い</w:t>
            </w:r>
          </w:p>
        </w:tc>
        <w:tc>
          <w:tcPr>
            <w:tcW w:type="dxa" w:w="3324"/>
            <w:shd w:val="clear" w:fill="24406B"/>
          </w:tcPr>
          <w:p>
            <w:r/>
            <w:r>
              <w:rPr>
                <w:rFonts w:eastAsia="Hiragino Sans" w:ascii="Hiragino Sans" w:hAnsi="Hiragino Sans"/>
                <w:b/>
                <w:color w:val="FFFFFF"/>
                <w:sz w:val="18"/>
              </w:rPr>
              <w:t>内容</w:t>
            </w:r>
          </w:p>
        </w:tc>
        <w:tc>
          <w:tcPr>
            <w:tcW w:type="dxa" w:w="3324"/>
            <w:shd w:val="clear" w:fill="24406B"/>
          </w:tcPr>
          <w:p>
            <w:r/>
            <w:r>
              <w:rPr>
                <w:rFonts w:eastAsia="Hiragino Sans" w:ascii="Hiragino Sans" w:hAnsi="Hiragino Sans"/>
                <w:b/>
                <w:color w:val="FFFFFF"/>
                <w:sz w:val="18"/>
              </w:rPr>
              <w:t>当社での適用</w:t>
            </w:r>
          </w:p>
        </w:tc>
      </w:tr>
      <w:tr>
        <w:tc>
          <w:tcPr>
            <w:tcW w:type="dxa" w:w="3324"/>
          </w:tcPr>
          <w:p>
            <w:r/>
            <w:r>
              <w:rPr>
                <w:rFonts w:eastAsia="Hiragino Sans" w:ascii="Hiragino Sans" w:hAnsi="Hiragino Sans"/>
                <w:b w:val="0"/>
                <w:sz w:val="18"/>
              </w:rPr>
              <w:t>適用指針 第92項</w:t>
            </w:r>
          </w:p>
        </w:tc>
        <w:tc>
          <w:tcPr>
            <w:tcW w:type="dxa" w:w="3324"/>
          </w:tcPr>
          <w:p>
            <w:r/>
            <w:r>
              <w:rPr>
                <w:rFonts w:eastAsia="Hiragino Sans" w:ascii="Hiragino Sans" w:hAnsi="Hiragino Sans"/>
                <w:b w:val="0"/>
                <w:sz w:val="18"/>
              </w:rPr>
              <w:t>契約変更による追加が既存契約に照らして重要性が乏しい場合</w:t>
            </w:r>
          </w:p>
        </w:tc>
        <w:tc>
          <w:tcPr>
            <w:tcW w:type="dxa" w:w="3324"/>
          </w:tcPr>
          <w:p>
            <w:r/>
            <w:r>
              <w:rPr>
                <w:rFonts w:eastAsia="Hiragino Sans" w:ascii="Hiragino Sans" w:hAnsi="Hiragino Sans"/>
                <w:b w:val="0"/>
                <w:sz w:val="18"/>
              </w:rPr>
              <w:t>採用</w:t>
            </w:r>
          </w:p>
        </w:tc>
      </w:tr>
      <w:tr>
        <w:tc>
          <w:tcPr>
            <w:tcW w:type="dxa" w:w="3324"/>
            <w:shd w:val="clear" w:fill="F7F8FA"/>
          </w:tcPr>
          <w:p>
            <w:r/>
            <w:r>
              <w:rPr>
                <w:rFonts w:eastAsia="Hiragino Sans" w:ascii="Hiragino Sans" w:hAnsi="Hiragino Sans"/>
                <w:b w:val="0"/>
                <w:sz w:val="18"/>
              </w:rPr>
              <w:t>適用指針 第93項</w:t>
            </w:r>
          </w:p>
        </w:tc>
        <w:tc>
          <w:tcPr>
            <w:tcW w:type="dxa" w:w="3324"/>
            <w:shd w:val="clear" w:fill="F7F8FA"/>
          </w:tcPr>
          <w:p>
            <w:r/>
            <w:r>
              <w:rPr>
                <w:rFonts w:eastAsia="Hiragino Sans" w:ascii="Hiragino Sans" w:hAnsi="Hiragino Sans"/>
                <w:b w:val="0"/>
                <w:sz w:val="18"/>
              </w:rPr>
              <w:t>顧客との契約の観点で重要性が乏しい財又はサービスは、履行義務であるかの評価をしないことができる</w:t>
            </w:r>
          </w:p>
        </w:tc>
        <w:tc>
          <w:tcPr>
            <w:tcW w:type="dxa" w:w="3324"/>
            <w:shd w:val="clear" w:fill="F7F8FA"/>
          </w:tcPr>
          <w:p>
            <w:r/>
            <w:r>
              <w:rPr>
                <w:rFonts w:eastAsia="Hiragino Sans" w:ascii="Hiragino Sans" w:hAnsi="Hiragino Sans"/>
                <w:b w:val="0"/>
                <w:sz w:val="18"/>
              </w:rPr>
              <w:t>採用</w:t>
            </w:r>
          </w:p>
        </w:tc>
      </w:tr>
      <w:tr>
        <w:tc>
          <w:tcPr>
            <w:tcW w:type="dxa" w:w="3324"/>
          </w:tcPr>
          <w:p>
            <w:r/>
            <w:r>
              <w:rPr>
                <w:rFonts w:eastAsia="Hiragino Sans" w:ascii="Hiragino Sans" w:hAnsi="Hiragino Sans"/>
                <w:b w:val="0"/>
                <w:sz w:val="18"/>
              </w:rPr>
              <w:t>適用指針 第99項</w:t>
            </w:r>
          </w:p>
        </w:tc>
        <w:tc>
          <w:tcPr>
            <w:tcW w:type="dxa" w:w="3324"/>
          </w:tcPr>
          <w:p>
            <w:r/>
            <w:r>
              <w:rPr>
                <w:rFonts w:eastAsia="Hiragino Sans" w:ascii="Hiragino Sans" w:hAnsi="Hiragino Sans"/>
                <w:b w:val="0"/>
                <w:sz w:val="18"/>
              </w:rPr>
              <w:t>契約の初期段階で進捗度を合理的に見積ることができない場合、初期段階に収益を認識しない</w:t>
            </w:r>
          </w:p>
        </w:tc>
        <w:tc>
          <w:tcPr>
            <w:tcW w:type="dxa" w:w="3324"/>
          </w:tcPr>
          <w:p>
            <w:r/>
            <w:r>
              <w:rPr>
                <w:rFonts w:eastAsia="Hiragino Sans" w:ascii="Hiragino Sans" w:hAnsi="Hiragino Sans"/>
                <w:b w:val="0"/>
                <w:sz w:val="18"/>
              </w:rPr>
              <w:t>採用（第4章4-3）</w:t>
            </w:r>
          </w:p>
        </w:tc>
      </w:tr>
      <w:tr>
        <w:tc>
          <w:tcPr>
            <w:tcW w:type="dxa" w:w="3324"/>
            <w:shd w:val="clear" w:fill="F7F8FA"/>
          </w:tcPr>
          <w:p>
            <w:r/>
            <w:r>
              <w:rPr>
                <w:rFonts w:eastAsia="Hiragino Sans" w:ascii="Hiragino Sans" w:hAnsi="Hiragino Sans"/>
                <w:b w:val="0"/>
                <w:sz w:val="18"/>
              </w:rPr>
              <w:t>適用指針 第100項</w:t>
            </w:r>
          </w:p>
        </w:tc>
        <w:tc>
          <w:tcPr>
            <w:tcW w:type="dxa" w:w="3324"/>
            <w:shd w:val="clear" w:fill="F7F8FA"/>
          </w:tcPr>
          <w:p>
            <w:r/>
            <w:r>
              <w:rPr>
                <w:rFonts w:eastAsia="Hiragino Sans" w:ascii="Hiragino Sans" w:hAnsi="Hiragino Sans"/>
                <w:b w:val="0"/>
                <w:sz w:val="18"/>
              </w:rPr>
              <w:t>付随的で重要性が乏しい財又はサービスへの残余アプローチ</w:t>
            </w:r>
          </w:p>
        </w:tc>
        <w:tc>
          <w:tcPr>
            <w:tcW w:type="dxa" w:w="3324"/>
            <w:shd w:val="clear" w:fill="F7F8FA"/>
          </w:tcPr>
          <w:p>
            <w:r/>
            <w:r>
              <w:rPr>
                <w:rFonts w:eastAsia="Hiragino Sans" w:ascii="Hiragino Sans" w:hAnsi="Hiragino Sans"/>
                <w:b w:val="0"/>
                <w:sz w:val="18"/>
              </w:rPr>
              <w:t>採用</w:t>
            </w:r>
          </w:p>
        </w:tc>
      </w:tr>
      <w:tr>
        <w:tc>
          <w:tcPr>
            <w:tcW w:type="dxa" w:w="3324"/>
          </w:tcPr>
          <w:p>
            <w:r/>
            <w:r>
              <w:rPr>
                <w:rFonts w:eastAsia="Hiragino Sans" w:ascii="Hiragino Sans" w:hAnsi="Hiragino Sans"/>
                <w:b w:val="0"/>
                <w:sz w:val="18"/>
              </w:rPr>
              <w:t>適用指針 第101項</w:t>
            </w:r>
          </w:p>
        </w:tc>
        <w:tc>
          <w:tcPr>
            <w:tcW w:type="dxa" w:w="3324"/>
          </w:tcPr>
          <w:p>
            <w:r/>
            <w:r>
              <w:rPr>
                <w:rFonts w:eastAsia="Hiragino Sans" w:ascii="Hiragino Sans" w:hAnsi="Hiragino Sans"/>
                <w:b w:val="0"/>
                <w:sz w:val="18"/>
              </w:rPr>
              <w:t>一定の要件を満たす場合、複数の契約を結合せず個々の契約金額で収益認識</w:t>
            </w:r>
          </w:p>
        </w:tc>
        <w:tc>
          <w:tcPr>
            <w:tcW w:type="dxa" w:w="3324"/>
          </w:tcPr>
          <w:p>
            <w:r/>
            <w:r>
              <w:rPr>
                <w:rFonts w:eastAsia="Hiragino Sans" w:ascii="Hiragino Sans" w:hAnsi="Hiragino Sans"/>
                <w:b w:val="0"/>
                <w:sz w:val="18"/>
              </w:rPr>
              <w:t>採用</w:t>
            </w:r>
          </w:p>
        </w:tc>
      </w:tr>
    </w:tbl>
    <w:p>
      <w:pPr>
        <w:spacing w:after="40"/>
      </w:pPr>
    </w:p>
    <w:p>
      <w:pPr>
        <w:ind w:left="120"/>
        <w:shd w:val="clear" w:fill="F3F4F6"/>
        <w:pBdr>
          <w:left w:val="single" w:sz="18" w:space="6" w:color="24406B"/>
        </w:pBdr>
      </w:pPr>
      <w:r>
        <w:rPr>
          <w:rFonts w:eastAsia="Hiragino Sans" w:ascii="Hiragino Sans" w:hAnsi="Hiragino Sans"/>
          <w:b w:val="0"/>
          <w:i/>
          <w:color w:val="444444"/>
          <w:sz w:val="18"/>
        </w:rPr>
        <w:t xml:space="preserve">⚠️ </w:t>
      </w:r>
      <w:r>
        <w:rPr>
          <w:rFonts w:eastAsia="Hiragino Sans" w:ascii="Hiragino Sans" w:hAnsi="Hiragino Sans"/>
          <w:b/>
          <w:i/>
          <w:color w:val="444444"/>
          <w:sz w:val="18"/>
        </w:rPr>
        <w:t>契約獲得の増分コスト（営業手数料等）の資産計上について</w:t>
      </w:r>
      <w:r>
        <w:rPr>
          <w:rFonts w:eastAsia="Hiragino Sans" w:ascii="Hiragino Sans" w:hAnsi="Hiragino Sans"/>
          <w:b w:val="0"/>
          <w:i/>
          <w:color w:val="444444"/>
          <w:sz w:val="18"/>
        </w:rPr>
        <w:t>: IFRS第15号にはこれを資産計上する定めがあるが、</w:t>
      </w:r>
      <w:r>
        <w:rPr>
          <w:rFonts w:eastAsia="Hiragino Sans" w:ascii="Hiragino Sans" w:hAnsi="Hiragino Sans"/>
          <w:b/>
          <w:i/>
          <w:color w:val="444444"/>
          <w:sz w:val="18"/>
        </w:rPr>
        <w:t>日本基準（第29号・適用指針第30号）にはこの定めが置かれていない</w:t>
      </w:r>
      <w:r>
        <w:rPr>
          <w:rFonts w:eastAsia="Hiragino Sans" w:ascii="Hiragino Sans" w:hAnsi="Hiragino Sans"/>
          <w:b w:val="0"/>
          <w:i/>
          <w:color w:val="444444"/>
          <w:sz w:val="18"/>
        </w:rPr>
        <w:t>。本会計基準は「棚卸資産や固定資産等、コストの資産化等の定めがIFRSの体系とは異なるため、IFRS第15号における契約コスト（契約獲得の増分コスト及び契約を履行するためのコスト）の定めを範囲に含めていない」と述べている（第109項）。したがって当社は発生時に費用処理する。なお、連結財務諸表にIFRS又は米国会計基準を適用している企業の個別財務諸表等において、IFRS第15号等の契約コストの定めに従った処理をすることは妨げられないとされている（第109項）。その選択をした場合の注記の要否は企業の実態に応じた判断とされている（第109-2項）。</w:t>
      </w:r>
    </w:p>
    <w:p>
      <w:pPr>
        <w:jc w:val="center"/>
      </w:pPr>
      <w:r>
        <w:t>────────────────────────────────────────</w:t>
      </w:r>
    </w:p>
    <w:p>
      <w:pPr>
        <w:pStyle w:val="Heading1"/>
      </w:pPr>
      <w:r>
        <w:t>第10章　統制との対応</w:t>
      </w:r>
    </w:p>
    <w:tbl>
      <w:tblPr>
        <w:tblStyle w:val="TableGrid"/>
        <w:tblW w:type="auto" w:w="0"/>
        <w:jc w:val="center"/>
        <w:tblLayout w:type="autofit"/>
        <w:tblLook w:firstColumn="1" w:firstRow="1" w:lastColumn="0" w:lastRow="0" w:noHBand="0" w:noVBand="1" w:val="04A0"/>
      </w:tblPr>
      <w:tblGrid>
        <w:gridCol w:w="3324"/>
        <w:gridCol w:w="3324"/>
        <w:gridCol w:w="3324"/>
      </w:tblGrid>
      <w:tr>
        <w:tc>
          <w:tcPr>
            <w:tcW w:type="dxa" w:w="3324"/>
            <w:shd w:val="clear" w:fill="24406B"/>
          </w:tcPr>
          <w:p>
            <w:r/>
            <w:r>
              <w:rPr>
                <w:rFonts w:eastAsia="Hiragino Sans" w:ascii="Hiragino Sans" w:hAnsi="Hiragino Sans"/>
                <w:b/>
                <w:color w:val="FFFFFF"/>
                <w:sz w:val="18"/>
              </w:rPr>
              <w:t>本方針書</w:t>
            </w:r>
          </w:p>
        </w:tc>
        <w:tc>
          <w:tcPr>
            <w:tcW w:type="dxa" w:w="3324"/>
            <w:shd w:val="clear" w:fill="24406B"/>
          </w:tcPr>
          <w:p>
            <w:r/>
            <w:r>
              <w:rPr>
                <w:rFonts w:eastAsia="Hiragino Sans" w:ascii="Hiragino Sans" w:hAnsi="Hiragino Sans"/>
                <w:b/>
                <w:color w:val="FFFFFF"/>
                <w:sz w:val="18"/>
              </w:rPr>
              <w:t>手続</w:t>
            </w:r>
          </w:p>
        </w:tc>
        <w:tc>
          <w:tcPr>
            <w:tcW w:type="dxa" w:w="3324"/>
            <w:shd w:val="clear" w:fill="24406B"/>
          </w:tcPr>
          <w:p>
            <w:r/>
            <w:r>
              <w:rPr>
                <w:rFonts w:eastAsia="Hiragino Sans" w:ascii="Hiragino Sans" w:hAnsi="Hiragino Sans"/>
                <w:b/>
                <w:color w:val="FFFFFF"/>
                <w:sz w:val="18"/>
              </w:rPr>
              <w:t>統制の性質</w:t>
            </w:r>
          </w:p>
        </w:tc>
      </w:tr>
      <w:tr>
        <w:tc>
          <w:tcPr>
            <w:tcW w:type="dxa" w:w="3324"/>
          </w:tcPr>
          <w:p>
            <w:r/>
            <w:r>
              <w:rPr>
                <w:rFonts w:eastAsia="Hiragino Sans" w:ascii="Hiragino Sans" w:hAnsi="Hiragino Sans"/>
                <w:b w:val="0"/>
                <w:sz w:val="18"/>
              </w:rPr>
              <w:t>第3章3-2</w:t>
            </w:r>
          </w:p>
        </w:tc>
        <w:tc>
          <w:tcPr>
            <w:tcW w:type="dxa" w:w="3324"/>
          </w:tcPr>
          <w:p>
            <w:r/>
            <w:r>
              <w:rPr>
                <w:rFonts w:eastAsia="Hiragino Sans" w:ascii="Hiragino Sans" w:hAnsi="Hiragino Sans"/>
                <w:b w:val="0"/>
                <w:sz w:val="18"/>
              </w:rPr>
              <w:t>新規契約の類型判定と経理部長承認</w:t>
            </w:r>
          </w:p>
        </w:tc>
        <w:tc>
          <w:tcPr>
            <w:tcW w:type="dxa" w:w="3324"/>
          </w:tcPr>
          <w:p>
            <w:r/>
            <w:r>
              <w:rPr>
                <w:rFonts w:eastAsia="Hiragino Sans" w:ascii="Hiragino Sans" w:hAnsi="Hiragino Sans"/>
                <w:b w:val="0"/>
                <w:sz w:val="18"/>
              </w:rPr>
              <w:t>契約審査（予防的・都度）</w:t>
            </w:r>
          </w:p>
        </w:tc>
      </w:tr>
      <w:tr>
        <w:tc>
          <w:tcPr>
            <w:tcW w:type="dxa" w:w="3324"/>
            <w:shd w:val="clear" w:fill="F7F8FA"/>
          </w:tcPr>
          <w:p>
            <w:r/>
            <w:r>
              <w:rPr>
                <w:rFonts w:eastAsia="Hiragino Sans" w:ascii="Hiragino Sans" w:hAnsi="Hiragino Sans"/>
                <w:b w:val="0"/>
                <w:sz w:val="18"/>
              </w:rPr>
              <w:t>第4章4-2</w:t>
            </w:r>
          </w:p>
        </w:tc>
        <w:tc>
          <w:tcPr>
            <w:tcW w:type="dxa" w:w="3324"/>
            <w:shd w:val="clear" w:fill="F7F8FA"/>
          </w:tcPr>
          <w:p>
            <w:r/>
            <w:r>
              <w:rPr>
                <w:rFonts w:eastAsia="Hiragino Sans" w:ascii="Hiragino Sans" w:hAnsi="Hiragino Sans"/>
                <w:b w:val="0"/>
                <w:sz w:val="18"/>
              </w:rPr>
              <w:t>進捗度の算定と根拠（工数・処理件数）の照合</w:t>
            </w:r>
          </w:p>
        </w:tc>
        <w:tc>
          <w:tcPr>
            <w:tcW w:type="dxa" w:w="3324"/>
            <w:shd w:val="clear" w:fill="F7F8FA"/>
          </w:tcPr>
          <w:p>
            <w:r/>
            <w:r>
              <w:rPr>
                <w:rFonts w:eastAsia="Hiragino Sans" w:ascii="Hiragino Sans" w:hAnsi="Hiragino Sans"/>
                <w:b w:val="0"/>
                <w:sz w:val="18"/>
              </w:rPr>
              <w:t>照合統制（発見的・月次）</w:t>
            </w:r>
          </w:p>
        </w:tc>
      </w:tr>
      <w:tr>
        <w:tc>
          <w:tcPr>
            <w:tcW w:type="dxa" w:w="3324"/>
          </w:tcPr>
          <w:p>
            <w:r/>
            <w:r>
              <w:rPr>
                <w:rFonts w:eastAsia="Hiragino Sans" w:ascii="Hiragino Sans" w:hAnsi="Hiragino Sans"/>
                <w:b w:val="0"/>
                <w:sz w:val="18"/>
              </w:rPr>
              <w:t>第4章4-3</w:t>
            </w:r>
          </w:p>
        </w:tc>
        <w:tc>
          <w:tcPr>
            <w:tcW w:type="dxa" w:w="3324"/>
          </w:tcPr>
          <w:p>
            <w:r/>
            <w:r>
              <w:rPr>
                <w:rFonts w:eastAsia="Hiragino Sans" w:ascii="Hiragino Sans" w:hAnsi="Hiragino Sans"/>
                <w:b w:val="0"/>
                <w:sz w:val="18"/>
              </w:rPr>
              <w:t>初期段階の線引きの記録</w:t>
            </w:r>
          </w:p>
        </w:tc>
        <w:tc>
          <w:tcPr>
            <w:tcW w:type="dxa" w:w="3324"/>
          </w:tcPr>
          <w:p>
            <w:r/>
            <w:r>
              <w:rPr>
                <w:rFonts w:eastAsia="Hiragino Sans" w:ascii="Hiragino Sans" w:hAnsi="Hiragino Sans"/>
                <w:b w:val="0"/>
                <w:sz w:val="18"/>
              </w:rPr>
              <w:t>見積りの承認統制（予防的・契約時）</w:t>
            </w:r>
          </w:p>
        </w:tc>
      </w:tr>
      <w:tr>
        <w:tc>
          <w:tcPr>
            <w:tcW w:type="dxa" w:w="3324"/>
            <w:shd w:val="clear" w:fill="F7F8FA"/>
          </w:tcPr>
          <w:p>
            <w:r/>
            <w:r>
              <w:rPr>
                <w:rFonts w:eastAsia="Hiragino Sans" w:ascii="Hiragino Sans" w:hAnsi="Hiragino Sans"/>
                <w:b w:val="0"/>
                <w:sz w:val="18"/>
              </w:rPr>
              <w:t>第5章5-2</w:t>
            </w:r>
          </w:p>
        </w:tc>
        <w:tc>
          <w:tcPr>
            <w:tcW w:type="dxa" w:w="3324"/>
            <w:shd w:val="clear" w:fill="F7F8FA"/>
          </w:tcPr>
          <w:p>
            <w:r/>
            <w:r>
              <w:rPr>
                <w:rFonts w:eastAsia="Hiragino Sans" w:ascii="Hiragino Sans" w:hAnsi="Hiragino Sans"/>
                <w:b w:val="0"/>
                <w:sz w:val="18"/>
              </w:rPr>
              <w:t>再委託・取次の本人代理人判定</w:t>
            </w:r>
          </w:p>
        </w:tc>
        <w:tc>
          <w:tcPr>
            <w:tcW w:type="dxa" w:w="3324"/>
            <w:shd w:val="clear" w:fill="F7F8FA"/>
          </w:tcPr>
          <w:p>
            <w:r/>
            <w:r>
              <w:rPr>
                <w:rFonts w:eastAsia="Hiragino Sans" w:ascii="Hiragino Sans" w:hAnsi="Hiragino Sans"/>
                <w:b w:val="0"/>
                <w:sz w:val="18"/>
              </w:rPr>
              <w:t>契約審査（予防的・都度）</w:t>
            </w:r>
          </w:p>
        </w:tc>
      </w:tr>
      <w:tr>
        <w:tc>
          <w:tcPr>
            <w:tcW w:type="dxa" w:w="3324"/>
          </w:tcPr>
          <w:p>
            <w:r/>
            <w:r>
              <w:rPr>
                <w:rFonts w:eastAsia="Hiragino Sans" w:ascii="Hiragino Sans" w:hAnsi="Hiragino Sans"/>
                <w:b w:val="0"/>
                <w:sz w:val="18"/>
              </w:rPr>
              <w:t>第6章6-2</w:t>
            </w:r>
          </w:p>
        </w:tc>
        <w:tc>
          <w:tcPr>
            <w:tcW w:type="dxa" w:w="3324"/>
          </w:tcPr>
          <w:p>
            <w:r/>
            <w:r>
              <w:rPr>
                <w:rFonts w:eastAsia="Hiragino Sans" w:ascii="Hiragino Sans" w:hAnsi="Hiragino Sans"/>
                <w:b w:val="0"/>
                <w:sz w:val="18"/>
              </w:rPr>
              <w:t>返金負債・減額見込の見直し</w:t>
            </w:r>
          </w:p>
        </w:tc>
        <w:tc>
          <w:tcPr>
            <w:tcW w:type="dxa" w:w="3324"/>
          </w:tcPr>
          <w:p>
            <w:r/>
            <w:r>
              <w:rPr>
                <w:rFonts w:eastAsia="Hiragino Sans" w:ascii="Hiragino Sans" w:hAnsi="Hiragino Sans"/>
                <w:b w:val="0"/>
                <w:sz w:val="18"/>
              </w:rPr>
              <w:t>見積りの承認統制（発見的・四半期）</w:t>
            </w:r>
          </w:p>
        </w:tc>
      </w:tr>
      <w:tr>
        <w:tc>
          <w:tcPr>
            <w:tcW w:type="dxa" w:w="3324"/>
            <w:shd w:val="clear" w:fill="F7F8FA"/>
          </w:tcPr>
          <w:p>
            <w:r/>
            <w:r>
              <w:rPr>
                <w:rFonts w:eastAsia="Hiragino Sans" w:ascii="Hiragino Sans" w:hAnsi="Hiragino Sans"/>
                <w:b w:val="0"/>
                <w:sz w:val="18"/>
              </w:rPr>
              <w:t>第7章</w:t>
            </w:r>
          </w:p>
        </w:tc>
        <w:tc>
          <w:tcPr>
            <w:tcW w:type="dxa" w:w="3324"/>
            <w:shd w:val="clear" w:fill="F7F8FA"/>
          </w:tcPr>
          <w:p>
            <w:r/>
            <w:r>
              <w:rPr>
                <w:rFonts w:eastAsia="Hiragino Sans" w:ascii="Hiragino Sans" w:hAnsi="Hiragino Sans"/>
                <w:b w:val="0"/>
                <w:sz w:val="18"/>
              </w:rPr>
              <w:t>契約資産・契約負債・債権の区分と残高の照合</w:t>
            </w:r>
          </w:p>
        </w:tc>
        <w:tc>
          <w:tcPr>
            <w:tcW w:type="dxa" w:w="3324"/>
            <w:shd w:val="clear" w:fill="F7F8FA"/>
          </w:tcPr>
          <w:p>
            <w:r/>
            <w:r>
              <w:rPr>
                <w:rFonts w:eastAsia="Hiragino Sans" w:ascii="Hiragino Sans" w:hAnsi="Hiragino Sans"/>
                <w:b w:val="0"/>
                <w:sz w:val="18"/>
              </w:rPr>
              <w:t>照合統制（発見的・月次）</w:t>
            </w:r>
          </w:p>
        </w:tc>
      </w:tr>
      <w:tr>
        <w:tc>
          <w:tcPr>
            <w:tcW w:type="dxa" w:w="3324"/>
          </w:tcPr>
          <w:p>
            <w:r/>
            <w:r>
              <w:rPr>
                <w:rFonts w:eastAsia="Hiragino Sans" w:ascii="Hiragino Sans" w:hAnsi="Hiragino Sans"/>
                <w:b w:val="0"/>
                <w:sz w:val="18"/>
              </w:rPr>
              <w:t>第8章</w:t>
            </w:r>
          </w:p>
        </w:tc>
        <w:tc>
          <w:tcPr>
            <w:tcW w:type="dxa" w:w="3324"/>
          </w:tcPr>
          <w:p>
            <w:r/>
            <w:r>
              <w:rPr>
                <w:rFonts w:eastAsia="Hiragino Sans" w:ascii="Hiragino Sans" w:hAnsi="Hiragino Sans"/>
                <w:b w:val="0"/>
                <w:sz w:val="18"/>
              </w:rPr>
              <w:t>注記の記載内容と方針書の整合確認</w:t>
            </w:r>
          </w:p>
        </w:tc>
        <w:tc>
          <w:tcPr>
            <w:tcW w:type="dxa" w:w="3324"/>
          </w:tcPr>
          <w:p>
            <w:r/>
            <w:r>
              <w:rPr>
                <w:rFonts w:eastAsia="Hiragino Sans" w:ascii="Hiragino Sans" w:hAnsi="Hiragino Sans"/>
                <w:b w:val="0"/>
                <w:sz w:val="18"/>
              </w:rPr>
              <w:t>開示統制（発見的・期末）</w:t>
            </w:r>
          </w:p>
        </w:tc>
      </w:tr>
    </w:tbl>
    <w:p>
      <w:pPr>
        <w:spacing w:after="40"/>
      </w:pPr>
    </w:p>
    <w:p>
      <w:pPr>
        <w:jc w:val="center"/>
      </w:pPr>
      <w:r>
        <w:t>────────────────────────────────────────</w:t>
      </w:r>
    </w:p>
    <w:p>
      <w:pPr>
        <w:pStyle w:val="Heading1"/>
      </w:pPr>
      <w:r>
        <w:t>第11章　適用及び改廃</w:t>
      </w:r>
    </w:p>
    <w:p>
      <w:pPr>
        <w:pStyle w:val="ListBullet"/>
        <w:ind w:left="240"/>
      </w:pPr>
      <w:r>
        <w:rPr>
          <w:rFonts w:eastAsia="Hiragino Sans" w:ascii="Hiragino Sans" w:hAnsi="Hiragino Sans"/>
          <w:b w:val="0"/>
          <w:sz w:val="20"/>
        </w:rPr>
        <w:t>本方針書は第12期の期首から適用する。</w:t>
      </w:r>
    </w:p>
    <w:p>
      <w:pPr>
        <w:pStyle w:val="ListBullet"/>
        <w:ind w:left="240"/>
      </w:pPr>
      <w:r>
        <w:rPr>
          <w:rFonts w:eastAsia="Hiragino Sans" w:ascii="Hiragino Sans" w:hAnsi="Hiragino Sans"/>
          <w:b w:val="0"/>
          <w:sz w:val="20"/>
        </w:rPr>
        <w:t>本方針書の改廃は経理部長が起案し、取締役会の承認による。</w:t>
      </w:r>
    </w:p>
    <w:p>
      <w:pPr>
        <w:pStyle w:val="ListBullet"/>
        <w:ind w:left="240"/>
      </w:pPr>
      <w:r>
        <w:rPr>
          <w:rFonts w:eastAsia="Hiragino Sans" w:ascii="Hiragino Sans" w:hAnsi="Hiragino Sans"/>
          <w:b w:val="0"/>
          <w:sz w:val="20"/>
        </w:rPr>
        <w:t>会計基準又は適用指針が改正された場合、契約類型を新設した場合、契約書の中途解約条項・請求条件を変更した場合は、速やかに本方針書を見直す。</w:t>
      </w:r>
    </w:p>
    <w:p>
      <w:pPr>
        <w:jc w:val="center"/>
      </w:pPr>
      <w:r>
        <w:t>────────────────────────────────────────</w:t>
      </w:r>
    </w:p>
    <w:p>
      <w:pPr>
        <w:pStyle w:val="Heading1"/>
      </w:pPr>
      <w:r>
        <w:t>参考：根拠と、確定していない事項</w:t>
      </w:r>
    </w:p>
    <w:p>
      <w:pPr>
        <w:pStyle w:val="Heading2"/>
      </w:pPr>
      <w:r>
        <w:t>根拠として用いた一次資料（2026年9月5日確認）</w:t>
      </w:r>
    </w:p>
    <w:tbl>
      <w:tblPr>
        <w:tblStyle w:val="TableGrid"/>
        <w:tblW w:type="auto" w:w="0"/>
        <w:jc w:val="center"/>
        <w:tblLayout w:type="autofit"/>
        <w:tblLook w:firstColumn="1" w:firstRow="1" w:lastColumn="0" w:lastRow="0" w:noHBand="0" w:noVBand="1" w:val="04A0"/>
      </w:tblPr>
      <w:tblGrid>
        <w:gridCol w:w="4986"/>
        <w:gridCol w:w="4986"/>
      </w:tblGrid>
      <w:tr>
        <w:tc>
          <w:tcPr>
            <w:tcW w:type="dxa" w:w="4986"/>
            <w:shd w:val="clear" w:fill="24406B"/>
          </w:tcPr>
          <w:p>
            <w:r/>
            <w:r>
              <w:rPr>
                <w:rFonts w:eastAsia="Hiragino Sans" w:ascii="Hiragino Sans" w:hAnsi="Hiragino Sans"/>
                <w:b/>
                <w:color w:val="FFFFFF"/>
                <w:sz w:val="18"/>
              </w:rPr>
              <w:t>事項</w:t>
            </w:r>
          </w:p>
        </w:tc>
        <w:tc>
          <w:tcPr>
            <w:tcW w:type="dxa" w:w="4986"/>
            <w:shd w:val="clear" w:fill="24406B"/>
          </w:tcPr>
          <w:p>
            <w:r/>
            <w:r>
              <w:rPr>
                <w:rFonts w:eastAsia="Hiragino Sans" w:ascii="Hiragino Sans" w:hAnsi="Hiragino Sans"/>
                <w:b/>
                <w:color w:val="FFFFFF"/>
                <w:sz w:val="18"/>
              </w:rPr>
              <w:t>出所</w:t>
            </w:r>
          </w:p>
        </w:tc>
      </w:tr>
      <w:tr>
        <w:tc>
          <w:tcPr>
            <w:tcW w:type="dxa" w:w="4986"/>
          </w:tcPr>
          <w:p>
            <w:r/>
            <w:r>
              <w:rPr>
                <w:rFonts w:eastAsia="Hiragino Sans" w:ascii="Hiragino Sans" w:hAnsi="Hiragino Sans"/>
                <w:b w:val="0"/>
                <w:sz w:val="18"/>
              </w:rPr>
              <w:t>基本原則・5ステップ・履行義務の充足・変動対価・契約資産負債・表示注記</w:t>
            </w:r>
          </w:p>
        </w:tc>
        <w:tc>
          <w:tcPr>
            <w:tcW w:type="dxa" w:w="4986"/>
          </w:tcPr>
          <w:p>
            <w:r/>
            <w:r>
              <w:rPr>
                <w:rFonts w:eastAsia="Hiragino Sans" w:ascii="Hiragino Sans" w:hAnsi="Hiragino Sans"/>
                <w:b w:val="0"/>
                <w:sz w:val="18"/>
              </w:rPr>
              <w:t>企業会計基準第29号「収益認識に関する会計基準」（2018年3月30日公表／改正2020年3月31日／</w:t>
            </w:r>
            <w:r>
              <w:rPr>
                <w:rFonts w:eastAsia="Hiragino Sans" w:ascii="Hiragino Sans" w:hAnsi="Hiragino Sans"/>
                <w:b/>
                <w:sz w:val="18"/>
              </w:rPr>
              <w:t>最終改正2024年9月13日</w:t>
            </w:r>
            <w:r>
              <w:rPr>
                <w:rFonts w:eastAsia="Hiragino Sans" w:ascii="Hiragino Sans" w:hAnsi="Hiragino Sans"/>
                <w:b w:val="0"/>
                <w:sz w:val="18"/>
              </w:rPr>
              <w:t>）</w:t>
            </w:r>
          </w:p>
        </w:tc>
      </w:tr>
      <w:tr>
        <w:tc>
          <w:tcPr>
            <w:tcW w:type="dxa" w:w="4986"/>
            <w:shd w:val="clear" w:fill="F7F8FA"/>
          </w:tcPr>
          <w:p>
            <w:r/>
            <w:r>
              <w:rPr>
                <w:rFonts w:eastAsia="Hiragino Sans" w:ascii="Hiragino Sans" w:hAnsi="Hiragino Sans"/>
                <w:b w:val="0"/>
                <w:sz w:val="18"/>
              </w:rPr>
              <w:t>進捗度の見積方法・本人代理人・重要性等に関する代替的な取扱い・科目例</w:t>
            </w:r>
          </w:p>
        </w:tc>
        <w:tc>
          <w:tcPr>
            <w:tcW w:type="dxa" w:w="4986"/>
            <w:shd w:val="clear" w:fill="F7F8FA"/>
          </w:tcPr>
          <w:p>
            <w:r/>
            <w:r>
              <w:rPr>
                <w:rFonts w:eastAsia="Hiragino Sans" w:ascii="Hiragino Sans" w:hAnsi="Hiragino Sans"/>
                <w:b w:val="0"/>
                <w:sz w:val="18"/>
              </w:rPr>
              <w:t>企業会計基準適用指針第30号「収益認識に関する会計基準の適用指針」（2018年3月30日公表／改正2020年3月31日／改正2021年3月26日／</w:t>
            </w:r>
            <w:r>
              <w:rPr>
                <w:rFonts w:eastAsia="Hiragino Sans" w:ascii="Hiragino Sans" w:hAnsi="Hiragino Sans"/>
                <w:b/>
                <w:sz w:val="18"/>
              </w:rPr>
              <w:t>最終改正2024年9月13日</w:t>
            </w:r>
            <w:r>
              <w:rPr>
                <w:rFonts w:eastAsia="Hiragino Sans" w:ascii="Hiragino Sans" w:hAnsi="Hiragino Sans"/>
                <w:b w:val="0"/>
                <w:sz w:val="18"/>
              </w:rPr>
              <w:t>）</w:t>
            </w:r>
          </w:p>
        </w:tc>
      </w:tr>
    </w:tbl>
    <w:p>
      <w:pPr>
        <w:spacing w:after="40"/>
      </w:pPr>
    </w:p>
    <w:p>
      <w:pPr>
        <w:pStyle w:val="ListBullet"/>
        <w:ind w:left="240"/>
      </w:pPr>
      <w:r>
        <w:rPr>
          <w:rFonts w:eastAsia="Hiragino Sans" w:ascii="Hiragino Sans" w:hAnsi="Hiragino Sans"/>
          <w:b w:val="0"/>
          <w:sz w:val="20"/>
        </w:rPr>
        <w:t>2024年9月13日の最終改正は、企業会計基準第34号「リースに関する会計基準」の公表に伴う関連改正である。本方針書が引用する項番の内容は、この改正による影響を受けていない。</w:t>
      </w:r>
    </w:p>
    <w:p>
      <w:pPr>
        <w:pStyle w:val="ListBullet"/>
        <w:ind w:left="240"/>
      </w:pPr>
      <w:r>
        <w:rPr>
          <w:rFonts w:eastAsia="Hiragino Sans" w:ascii="Hiragino Sans" w:hAnsi="Hiragino Sans"/>
          <w:b w:val="0"/>
          <w:sz w:val="20"/>
        </w:rPr>
        <w:t>適用指針は2025年10月16日公表の企業会計基準第37号「期中財務諸表に関する会計基準」による修正が反映された版である。</w:t>
      </w:r>
    </w:p>
    <w:p>
      <w:pPr>
        <w:pStyle w:val="ListBullet"/>
        <w:ind w:left="240"/>
      </w:pPr>
      <w:r>
        <w:rPr>
          <w:rFonts w:eastAsia="Hiragino Sans" w:ascii="Hiragino Sans" w:hAnsi="Hiragino Sans"/>
          <w:b w:val="0"/>
          <w:sz w:val="20"/>
        </w:rPr>
        <w:t>ASBJのサイトは asb-j.jp である（旧 asb.or.jp からの移転）。原文を参照する際は移転後のドメインを用いること。</w:t>
      </w:r>
    </w:p>
    <w:p>
      <w:pPr>
        <w:pStyle w:val="Heading2"/>
      </w:pPr>
      <w:r>
        <w:t>参考にした書籍（章立て・論点の抜け漏れ確認にのみ使用。本文の引き写しはしていない）</w:t>
      </w:r>
    </w:p>
    <w:p>
      <w:pPr>
        <w:pStyle w:val="ListBullet"/>
        <w:ind w:left="240"/>
      </w:pPr>
      <w:r>
        <w:rPr>
          <w:rFonts w:eastAsia="Hiragino Sans" w:ascii="Hiragino Sans" w:hAnsi="Hiragino Sans"/>
          <w:b w:val="0"/>
          <w:sz w:val="20"/>
        </w:rPr>
        <w:t>太田達也『「収益認識会計基準と税務」完全解説（改訂版）』——第6章「役務の提供」が本方針書の論点の並びの参考</w:t>
      </w:r>
    </w:p>
    <w:p>
      <w:pPr>
        <w:pStyle w:val="ListBullet"/>
        <w:ind w:left="240"/>
      </w:pPr>
      <w:r>
        <w:rPr>
          <w:rFonts w:eastAsia="Hiragino Sans" w:ascii="Hiragino Sans" w:hAnsi="Hiragino Sans"/>
          <w:b w:val="0"/>
          <w:sz w:val="20"/>
        </w:rPr>
        <w:t>企業会計基準委員会事務局『詳解 収益認識会計基準』——巻末に基準・適用指針の条文が項番付きで収録されており、項番の突合に使用</w:t>
      </w:r>
    </w:p>
    <w:p>
      <w:pPr>
        <w:pStyle w:val="ListBullet"/>
        <w:ind w:left="240"/>
      </w:pPr>
      <w:r>
        <w:rPr>
          <w:rFonts w:eastAsia="Hiragino Sans" w:ascii="Hiragino Sans" w:hAnsi="Hiragino Sans"/>
          <w:b w:val="0"/>
          <w:sz w:val="20"/>
        </w:rPr>
        <w:t>『業種別・収益認識基準の適用実務』——業種別の論点の当たり付け</w:t>
      </w:r>
    </w:p>
    <w:p>
      <w:pPr>
        <w:pStyle w:val="Heading2"/>
      </w:pPr>
      <w:r>
        <w:t>確定していない事項（要確認）</w:t>
      </w:r>
    </w:p>
    <w:p>
      <w:pPr>
        <w:pStyle w:val="ListBullet"/>
        <w:ind w:left="240"/>
      </w:pPr>
      <w:r>
        <w:rPr>
          <w:rFonts w:eastAsia="Hiragino Sans" w:ascii="Hiragino Sans" w:hAnsi="Hiragino Sans"/>
          <w:b/>
          <w:sz w:val="20"/>
        </w:rPr>
        <w:t>経過措置の項番</w:t>
      </w:r>
      <w:r>
        <w:rPr>
          <w:rFonts w:eastAsia="Hiragino Sans" w:ascii="Hiragino Sans" w:hAnsi="Hiragino Sans"/>
          <w:b w:val="0"/>
          <w:sz w:val="20"/>
        </w:rPr>
        <w:t>：現行版では第83-3項が2024年改正の適用時期、経過措置は第83-4項以降である。本方針書は新規適用ではないため経過措置を引用していないが、引用する場合は現行版の項番で確認すること。</w:t>
      </w:r>
    </w:p>
    <w:p>
      <w:pPr>
        <w:pStyle w:val="ListBullet"/>
        <w:ind w:left="240"/>
      </w:pPr>
      <w:r>
        <w:rPr>
          <w:rFonts w:eastAsia="Hiragino Sans" w:ascii="Hiragino Sans" w:hAnsi="Hiragino Sans"/>
          <w:b/>
          <w:sz w:val="20"/>
        </w:rPr>
        <w:t>第32項の本文</w:t>
      </w:r>
      <w:r>
        <w:rPr>
          <w:rFonts w:eastAsia="Hiragino Sans" w:ascii="Hiragino Sans" w:hAnsi="Hiragino Sans"/>
          <w:b w:val="0"/>
          <w:sz w:val="20"/>
        </w:rPr>
        <w:t>：履行義務の識別の範囲（第32項〜第34項）は適用指針からの参照で確認したが、第32項そのものの本文は一次資料で目視していない。</w:t>
      </w:r>
    </w:p>
    <w:p>
      <w:pPr>
        <w:pStyle w:val="ListBullet"/>
        <w:ind w:left="240"/>
      </w:pPr>
      <w:r>
        <w:rPr>
          <w:rFonts w:eastAsia="Hiragino Sans" w:ascii="Hiragino Sans" w:hAnsi="Hiragino Sans"/>
          <w:b/>
          <w:sz w:val="20"/>
        </w:rPr>
        <w:t>注記の免除条件</w:t>
      </w:r>
      <w:r>
        <w:rPr>
          <w:rFonts w:eastAsia="Hiragino Sans" w:ascii="Hiragino Sans" w:hAnsi="Hiragino Sans"/>
          <w:b w:val="0"/>
          <w:sz w:val="20"/>
        </w:rPr>
        <w:t>：残存履行義務に関する注記を省略できる条件（第80-22項）は、契約期間1年以内・適用指針第19項により認識している場合のほか、一定の変動対価に係る条件がある。注記を省略する場合は原文で全条件を確認すること。</w:t>
      </w:r>
    </w:p>
    <w:p>
      <w:pPr>
        <w:pStyle w:val="ListBullet"/>
        <w:ind w:left="240"/>
      </w:pPr>
      <w:r>
        <w:rPr>
          <w:rFonts w:eastAsia="Hiragino Sans" w:ascii="Hiragino Sans" w:hAnsi="Hiragino Sans"/>
          <w:b/>
          <w:sz w:val="20"/>
        </w:rPr>
        <w:t>税務・消費税の取扱い</w:t>
      </w:r>
      <w:r>
        <w:rPr>
          <w:rFonts w:eastAsia="Hiragino Sans" w:ascii="Hiragino Sans" w:hAnsi="Hiragino Sans"/>
          <w:b w:val="0"/>
          <w:sz w:val="20"/>
        </w:rPr>
        <w:t>：本方針書は会計処理のみを対象とし、法人税・消費税の取扱いは扱っていない。会計と税務の差異は税理士に確認すること。</w:t>
      </w:r>
    </w:p>
    <w:p>
      <w:pPr>
        <w:jc w:val="center"/>
      </w:pPr>
      <w:r>
        <w:t>────────────────────────────────────────</w:t>
      </w:r>
    </w:p>
    <w:sectPr w:rsidR="00FC693F" w:rsidRPr="0006063C" w:rsidSect="00034616">
      <w:footerReference w:type="default" r:id="rId9"/>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
      <w:rPr>
        <w:rFonts w:eastAsia="Hiragino Sans" w:ascii="Hiragino Sans" w:hAnsi="Hiragino Sans"/>
        <w:color w:val="6B7280"/>
        <w:sz w:val="16"/>
      </w:rPr>
      <w:t xml:space="preserve">役務提供の収益認識に関する会計処理方針書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Hiragino Sans" w:hAnsi="Hiragino Sans" w:eastAsia="Hiragino San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Hiragino Sans" w:hAnsi="Hiragino Sans" w:eastAsia="Hiragino Sans"/>
      <w:b/>
      <w:bCs/>
      <w:color w:val="24406B"/>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Hiragino Sans" w:hAnsi="Hiragino Sans" w:eastAsia="Hiragino Sans"/>
      <w:b/>
      <w:bCs/>
      <w:color w:val="24406B"/>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Hiragino Sans" w:hAnsi="Hiragino Sans" w:eastAsia="Hiragino Sans"/>
      <w:b/>
      <w:bCs/>
      <w:color w:val="333333"/>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ascii="Hiragino Sans" w:hAnsi="Hiragino Sans" w:eastAsia="Hiragino Sans"/>
      <w:b/>
      <w:bCs/>
      <w:i/>
      <w:iCs/>
      <w:color w:val="555555"/>
      <w:sz w:val="2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generated by python-docx</dc:description>
  <cp:revision>1</cp:revision>
  <dcterms:created xsi:type="dcterms:W3CDTF">2013-12-23T23:15:00Z</dcterms:created>
  <dcterms:modified xsi:type="dcterms:W3CDTF">2013-12-23T23:15:00Z</dcterms:modified>
  <cp:category/>
  <dc:creator>BENTO</dc:creator>
  <cp:lastModifiedBy>BENTO</cp:lastModifiedBy>
</cp:coreProperties>
</file>