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40"/>
        <w:jc w:val="center"/>
      </w:pPr>
      <w:r>
        <w:rPr>
          <w:rFonts w:ascii="Yu Gothic" w:cs="Yu Gothic" w:eastAsia="Yu Gothic" w:hAnsi="Yu Gothic"/>
          <w:b/>
          <w:bCs/>
          <w:sz w:val="30"/>
          <w:szCs w:val="30"/>
        </w:rPr>
        <w:t xml:space="preserve">サンプルSaaS株式会社</w:t>
      </w:r>
    </w:p>
    <w:p>
      <w:pPr>
        <w:spacing w:after="20"/>
        <w:jc w:val="center"/>
      </w:pPr>
      <w:r>
        <w:rPr>
          <w:rFonts w:ascii="Yu Gothic" w:cs="Yu Gothic" w:eastAsia="Yu Gothic" w:hAnsi="Yu Gothic"/>
          <w:sz w:val="20"/>
          <w:szCs w:val="20"/>
        </w:rPr>
        <w:t xml:space="preserve">事業計画パッケージ　／　2026年3月期〜2028年3月期（中期3年計画）</w:t>
      </w:r>
    </w:p>
    <w:p>
      <w:pPr>
        <w:spacing w:after="160"/>
        <w:jc w:val="center"/>
      </w:pPr>
      <w:r>
        <w:rPr>
          <w:rFonts w:ascii="Yu Gothic" w:cs="Yu Gothic" w:eastAsia="Yu Gothic" w:hAnsi="Yu Gothic"/>
          <w:color w:val="8A8170"/>
          <w:sz w:val="15"/>
          <w:szCs w:val="15"/>
        </w:rPr>
        <w:t xml:space="preserve">AI生成ドラフト・会計士レビュー前提（数値は概算の例示）</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tblGrid>
      <w:tr>
        <w:tc>
          <w:tcPr>
            <w:tcW w:type="pct" w:w="1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作成者</w:t>
            </w:r>
          </w:p>
        </w:tc>
        <w:tc>
          <w:tcPr>
            <w:tcW w:type="pct" w:w="32%"/>
            <w:tcMar>
              <w:top w:type="dxa" w:w="30"/>
              <w:left w:type="dxa" w:w="50"/>
              <w:bottom w:type="dxa" w:w="30"/>
              <w:right w:type="dxa" w:w="50"/>
            </w:tcMar>
          </w:tcPr>
          <w:p>
            <w:r>
              <w:rPr>
                <w:rFonts w:ascii="Yu Gothic" w:cs="Yu Gothic" w:eastAsia="Yu Gothic" w:hAnsi="Yu Gothic"/>
                <w:b w:val="false"/>
                <w:bCs w:val="false"/>
                <w:sz w:val="13"/>
                <w:szCs w:val="13"/>
              </w:rPr>
              <w:t xml:space="preserve"/>
            </w:r>
          </w:p>
        </w:tc>
        <w:tc>
          <w:tcPr>
            <w:tcW w:type="pct" w:w="1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承認者</w:t>
            </w:r>
          </w:p>
        </w:tc>
        <w:tc>
          <w:tcPr>
            <w:tcW w:type="pct" w:w="32%"/>
            <w:tcMar>
              <w:top w:type="dxa" w:w="30"/>
              <w:left w:type="dxa" w:w="50"/>
              <w:bottom w:type="dxa" w:w="30"/>
              <w:right w:type="dxa" w:w="50"/>
            </w:tcMar>
          </w:tcPr>
          <w:p>
            <w:r>
              <w:rPr>
                <w:rFonts w:ascii="Yu Gothic" w:cs="Yu Gothic" w:eastAsia="Yu Gothic" w:hAnsi="Yu Gothic"/>
                <w:b w:val="false"/>
                <w:bCs w:val="false"/>
                <w:sz w:val="13"/>
                <w:szCs w:val="13"/>
              </w:rPr>
              <w:t xml:space="preserve"/>
            </w:r>
          </w:p>
        </w:tc>
      </w:tr>
    </w:tbl>
    <w:p>
      <w:pPr>
        <w:pStyle w:val="Heading1"/>
        <w:spacing w:after="80" w:before="280"/>
      </w:pPr>
      <w:r>
        <w:rPr>
          <w:rFonts w:ascii="Yu Gothic" w:cs="Yu Gothic" w:eastAsia="Yu Gothic" w:hAnsi="Yu Gothic"/>
          <w:b/>
          <w:bCs/>
        </w:rPr>
        <w:t xml:space="preserve">1. 概要</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tblGrid>
      <w:tr>
        <w:tc>
          <w:tcPr>
            <w:tcW w:type="pct" w:w="22%"/>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目的</w:t>
            </w:r>
          </w:p>
        </w:tc>
        <w:tc>
          <w:tcPr>
            <w:tcW w:type="pct" w:w="78%"/>
            <w:tcMar>
              <w:top w:type="dxa" w:w="30"/>
              <w:left w:type="dxa" w:w="50"/>
              <w:bottom w:type="dxa" w:w="30"/>
              <w:right w:type="dxa" w:w="50"/>
            </w:tcMar>
          </w:tcPr>
          <w:p>
            <w:r>
              <w:rPr>
                <w:rFonts w:ascii="Yu Gothic" w:cs="Yu Gothic" w:eastAsia="Yu Gothic" w:hAnsi="Yu Gothic"/>
                <w:b w:val="false"/>
                <w:bCs w:val="false"/>
                <w:sz w:val="13"/>
                <w:szCs w:val="13"/>
              </w:rPr>
              <w:t xml:space="preserve">B2B SaaS事業の持続的成長を実現するため、ARR拡大とNRR改善を軸に、Rule of 40（成長率+営業利益率≧40%）を3年目に達成する。並行してCAC回収期間の短縮とユニットエコノミクスの健全化を図り、黒字転換と営業CFの安定的プラス化を実現する。</w:t>
            </w:r>
          </w:p>
        </w:tc>
      </w:tr>
      <w:tr>
        <w:tc>
          <w:tcPr>
            <w:tcW w:type="pct" w:w="22%"/>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範囲</w:t>
            </w:r>
          </w:p>
        </w:tc>
        <w:tc>
          <w:tcPr>
            <w:tcW w:type="pct" w:w="78%"/>
            <w:tcMar>
              <w:top w:type="dxa" w:w="30"/>
              <w:left w:type="dxa" w:w="50"/>
              <w:bottom w:type="dxa" w:w="30"/>
              <w:right w:type="dxa" w:w="50"/>
            </w:tcMar>
          </w:tcPr>
          <w:p>
            <w:r>
              <w:rPr>
                <w:rFonts w:ascii="Yu Gothic" w:cs="Yu Gothic" w:eastAsia="Yu Gothic" w:hAnsi="Yu Gothic"/>
                <w:b w:val="false"/>
                <w:bCs w:val="false"/>
                <w:sz w:val="13"/>
                <w:szCs w:val="13"/>
              </w:rPr>
              <w:t xml:space="preserve">連結（単体主体）。SaaSサブスクリプション収益（月額/年額）、導入支援・カスタマイズ収益を対象。IFRS15号・実務対応報告第17号に準拠した収益認識（恒続アクセス権は期間認識、導入支援は履行義務別に独立販売価格で配分）を前提とする。</w:t>
            </w:r>
          </w:p>
        </w:tc>
      </w:tr>
      <w:tr>
        <w:tc>
          <w:tcPr>
            <w:tcW w:type="pct" w:w="22%"/>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主要前提</w:t>
            </w:r>
          </w:p>
        </w:tc>
        <w:tc>
          <w:tcPr>
            <w:tcW w:type="pct" w:w="78%"/>
            <w:tcMar>
              <w:top w:type="dxa" w:w="30"/>
              <w:left w:type="dxa" w:w="50"/>
              <w:bottom w:type="dxa" w:w="30"/>
              <w:right w:type="dxa" w:w="50"/>
            </w:tcMar>
          </w:tcPr>
          <w:p>
            <w:r>
              <w:rPr>
                <w:rFonts w:ascii="Yu Gothic" w:cs="Yu Gothic" w:eastAsia="Yu Gothic" w:hAnsi="Yu Gothic"/>
                <w:b w:val="false"/>
                <w:bCs w:val="false"/>
                <w:sz w:val="13"/>
                <w:szCs w:val="13"/>
              </w:rPr>
              <w:t xml:space="preserve">①新規ARRはマーケ・セールス人員投資に概ね比例、②グロスチャーン年率8%→6%へ改善、NRRは108%→118%、③粗利率はインフラ最適化により78%→82%、④2027年3月期にシリーズC調達15億円を実行、⑤開発費は原則発生時費用処理（資本化は限定的）、⑥法人実効税率30%（繰延税金資産は回収可能性を慎重評価）。</w:t>
            </w:r>
          </w:p>
        </w:tc>
      </w:tr>
      <w:tr>
        <w:tc>
          <w:tcPr>
            <w:tcW w:type="pct" w:w="22%"/>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進め方</w:t>
            </w:r>
          </w:p>
        </w:tc>
        <w:tc>
          <w:tcPr>
            <w:tcW w:type="pct" w:w="78%"/>
            <w:tcMar>
              <w:top w:type="dxa" w:w="30"/>
              <w:left w:type="dxa" w:w="50"/>
              <w:bottom w:type="dxa" w:w="30"/>
              <w:right w:type="dxa" w:w="50"/>
            </w:tcMar>
          </w:tcPr>
          <w:p>
            <w:r>
              <w:rPr>
                <w:rFonts w:ascii="Yu Gothic" w:cs="Yu Gothic" w:eastAsia="Yu Gothic" w:hAnsi="Yu Gothic"/>
                <w:b w:val="false"/>
                <w:bCs w:val="false"/>
                <w:sz w:val="13"/>
                <w:szCs w:val="13"/>
              </w:rPr>
              <w:t xml:space="preserve">ARR積み上げ型でトップラインをドライブし、人員計画（S&amp;M/R&amp;D/G&amp;A）と連動させて費用を積算。損益→運転資本（前受金・売掛）→資金繰りの順で3表を連動。投資はDCF（WACC12%）でNPV/IRR/回収期間を評価し、四半期ローリング予算と予実差異分析で統制する。</w:t>
            </w:r>
          </w:p>
        </w:tc>
      </w:tr>
    </w:tbl>
    <w:p>
      <w:pPr>
        <w:pStyle w:val="Heading1"/>
        <w:spacing w:after="80" w:before="280"/>
      </w:pPr>
      <w:r>
        <w:rPr>
          <w:rFonts w:ascii="Yu Gothic" w:cs="Yu Gothic" w:eastAsia="Yu Gothic" w:hAnsi="Yu Gothic"/>
          <w:b/>
          <w:bCs/>
        </w:rPr>
        <w:t xml:space="preserve">2. 損益計画</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損益項目</w:t>
            </w:r>
          </w:p>
        </w:tc>
        <w:tc>
          <w:tcPr>
            <w:tcW w:type="pct" w:w="10%"/>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単位</w:t>
            </w:r>
          </w:p>
        </w:tc>
        <w:tc>
          <w:tcPr>
            <w:tcW w:type="pct" w:w="20%"/>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2026年3月期</w:t>
            </w:r>
          </w:p>
        </w:tc>
        <w:tc>
          <w:tcPr>
            <w:tcW w:type="pct" w:w="20%"/>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2027年3月期</w:t>
            </w:r>
          </w:p>
        </w:tc>
        <w:tc>
          <w:tcPr>
            <w:tcW w:type="pct" w:w="20%"/>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2028年3月期</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売上高（サブスクリプション）</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1,020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1,470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2,030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売上高（導入支援・カスタマイズ）</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180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210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270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売上高合計</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1,200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1,680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2,300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売上原価</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264</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336</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414</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売上総利益</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936</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1,344</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1,886</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販売費（S&amp;M）</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540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672</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805</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研究開発費（R&amp;D）</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360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420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506</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一般管理費（G&amp;A）</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180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218</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253</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営業利益</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-144</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34</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322</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営業外損益</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-6</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-8</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税引前利益</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-150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26</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312</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法人税等</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8</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94</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当期純利益</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-150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18</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218</w:t>
            </w:r>
          </w:p>
        </w:tc>
      </w:tr>
    </w:tbl>
    <w:p>
      <w:pPr>
        <w:pStyle w:val="Heading1"/>
        <w:spacing w:after="80" w:before="280"/>
      </w:pPr>
      <w:r>
        <w:rPr>
          <w:rFonts w:ascii="Yu Gothic" w:cs="Yu Gothic" w:eastAsia="Yu Gothic" w:hAnsi="Yu Gothic"/>
          <w:b/>
          <w:bCs/>
        </w:rPr>
        <w:t xml:space="preserve">3. 資金計画（キャッシュ・フロー）</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資金項目</w:t>
            </w:r>
          </w:p>
        </w:tc>
        <w:tc>
          <w:tcPr>
            <w:tcW w:type="pct" w:w="10%"/>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単位</w:t>
            </w:r>
          </w:p>
        </w:tc>
        <w:tc>
          <w:tcPr>
            <w:tcW w:type="pct" w:w="20%"/>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2026年3月期</w:t>
            </w:r>
          </w:p>
        </w:tc>
        <w:tc>
          <w:tcPr>
            <w:tcW w:type="pct" w:w="20%"/>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2027年3月期</w:t>
            </w:r>
          </w:p>
        </w:tc>
        <w:tc>
          <w:tcPr>
            <w:tcW w:type="pct" w:w="20%"/>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2028年3月期</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税引前利益</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-150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26</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312</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減価償却費</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40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52</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66</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契約負債（前受金）増減</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120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150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190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売上債権増減</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-60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-75</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-95</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法人税等支払</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-80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営業キャッシュフロー</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-50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153</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393</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投資キャッシュフロー</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-90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-130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-150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フリーキャッシュフロー</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-140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23</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243</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財務キャッシュフロー</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50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1,480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-20</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現金及び現金同等物 期末残高</w:t>
            </w:r>
          </w:p>
        </w:tc>
        <w:tc>
          <w:tcPr>
            <w:tcW w:type="pct" w:w="10%"/>
            <w:tcMar>
              <w:top w:type="dxa" w:w="30"/>
              <w:left w:type="dxa" w:w="50"/>
              <w:bottom w:type="dxa" w:w="30"/>
              <w:right w:type="dxa" w:w="50"/>
            </w:tcMar>
          </w:tcPr>
          <w:p>
            <w:r>
              <w:rPr>
                <w:rFonts w:ascii="Yu Gothic" w:cs="Yu Gothic" w:eastAsia="Yu Gothic" w:hAnsi="Yu Gothic"/>
                <w:b w:val="false"/>
                <w:bCs w:val="false"/>
                <w:sz w:val="13"/>
                <w:szCs w:val="13"/>
              </w:rPr>
              <w:t xml:space="preserve">百万円</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410</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1,913</w:t>
            </w:r>
          </w:p>
        </w:tc>
        <w:tc>
          <w:tcPr>
            <w:tcW w:type="pct" w:w="20%"/>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2,136</w:t>
            </w:r>
          </w:p>
        </w:tc>
      </w:tr>
    </w:tbl>
    <w:p>
      <w:pPr>
        <w:pStyle w:val="Heading1"/>
        <w:spacing w:after="80" w:before="280"/>
      </w:pPr>
      <w:r>
        <w:rPr>
          <w:rFonts w:ascii="Yu Gothic" w:cs="Yu Gothic" w:eastAsia="Yu Gothic" w:hAnsi="Yu Gothic"/>
          <w:b/>
          <w:bCs/>
        </w:rPr>
        <w:t xml:space="preserve">4. KPI設計</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tblGrid>
      <w:tr>
        <w:trPr>
          <w:tblHeader/>
        </w:trPr>
        <w:tc>
          <w:tcPr>
            <w:tcW w:type="pct" w:w="20%"/>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KPI</w:t>
            </w:r>
          </w:p>
        </w:tc>
        <w:tc>
          <w:tcPr>
            <w:tcW w:type="pct" w:w="40%"/>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定義</w:t>
            </w:r>
          </w:p>
        </w:tc>
        <w:tc>
          <w:tcPr>
            <w:tcW w:type="pct" w:w="13%"/>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2026年3月期</w:t>
            </w:r>
          </w:p>
        </w:tc>
        <w:tc>
          <w:tcPr>
            <w:tcW w:type="pct" w:w="13%"/>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2027年3月期</w:t>
            </w:r>
          </w:p>
        </w:tc>
        <w:tc>
          <w:tcPr>
            <w:tcW w:type="pct" w:w="13%"/>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2028年3月期</w:t>
            </w:r>
          </w:p>
        </w:tc>
      </w:tr>
      <w:tr>
        <w:tc>
          <w:tcPr>
            <w:tcW w:type="pct" w:w="20%"/>
            <w:tcMar>
              <w:top w:type="dxa" w:w="30"/>
              <w:left w:type="dxa" w:w="50"/>
              <w:bottom w:type="dxa" w:w="30"/>
              <w:right w:type="dxa" w:w="50"/>
            </w:tcMar>
          </w:tcPr>
          <w:p>
            <w:r>
              <w:rPr>
                <w:rFonts w:ascii="Yu Gothic" w:cs="Yu Gothic" w:eastAsia="Yu Gothic" w:hAnsi="Yu Gothic"/>
                <w:b w:val="false"/>
                <w:bCs w:val="false"/>
                <w:sz w:val="13"/>
                <w:szCs w:val="13"/>
              </w:rPr>
              <w:t xml:space="preserve">ARR（年間経常収益）</w:t>
            </w:r>
          </w:p>
        </w:tc>
        <w:tc>
          <w:tcPr>
            <w:tcW w:type="pct" w:w="40%"/>
            <w:tcMar>
              <w:top w:type="dxa" w:w="30"/>
              <w:left w:type="dxa" w:w="50"/>
              <w:bottom w:type="dxa" w:w="30"/>
              <w:right w:type="dxa" w:w="50"/>
            </w:tcMar>
          </w:tcPr>
          <w:p>
            <w:r>
              <w:rPr>
                <w:rFonts w:ascii="Yu Gothic" w:cs="Yu Gothic" w:eastAsia="Yu Gothic" w:hAnsi="Yu Gothic"/>
                <w:b w:val="false"/>
                <w:bCs w:val="false"/>
                <w:sz w:val="13"/>
                <w:szCs w:val="13"/>
              </w:rPr>
              <w:t xml:space="preserve">期末MRR×12。経常的なサブスク収益の年換算。</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1,150</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1,620</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2,200</w:t>
            </w:r>
          </w:p>
        </w:tc>
      </w:tr>
      <w:tr>
        <w:tc>
          <w:tcPr>
            <w:tcW w:type="pct" w:w="20%"/>
            <w:tcMar>
              <w:top w:type="dxa" w:w="30"/>
              <w:left w:type="dxa" w:w="50"/>
              <w:bottom w:type="dxa" w:w="30"/>
              <w:right w:type="dxa" w:w="50"/>
            </w:tcMar>
          </w:tcPr>
          <w:p>
            <w:r>
              <w:rPr>
                <w:rFonts w:ascii="Yu Gothic" w:cs="Yu Gothic" w:eastAsia="Yu Gothic" w:hAnsi="Yu Gothic"/>
                <w:b w:val="false"/>
                <w:bCs w:val="false"/>
                <w:sz w:val="13"/>
                <w:szCs w:val="13"/>
              </w:rPr>
              <w:t xml:space="preserve">NRR（売上継続率）</w:t>
            </w:r>
          </w:p>
        </w:tc>
        <w:tc>
          <w:tcPr>
            <w:tcW w:type="pct" w:w="40%"/>
            <w:tcMar>
              <w:top w:type="dxa" w:w="30"/>
              <w:left w:type="dxa" w:w="50"/>
              <w:bottom w:type="dxa" w:w="30"/>
              <w:right w:type="dxa" w:w="50"/>
            </w:tcMar>
          </w:tcPr>
          <w:p>
            <w:r>
              <w:rPr>
                <w:rFonts w:ascii="Yu Gothic" w:cs="Yu Gothic" w:eastAsia="Yu Gothic" w:hAnsi="Yu Gothic"/>
                <w:b w:val="false"/>
                <w:bCs w:val="false"/>
                <w:sz w:val="13"/>
                <w:szCs w:val="13"/>
              </w:rPr>
              <w:t xml:space="preserve">既存顧客の前年同期比収益維持率（アップセル含む、解約除く）</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108%</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113%</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118%</w:t>
            </w:r>
          </w:p>
        </w:tc>
      </w:tr>
      <w:tr>
        <w:tc>
          <w:tcPr>
            <w:tcW w:type="pct" w:w="20%"/>
            <w:tcMar>
              <w:top w:type="dxa" w:w="30"/>
              <w:left w:type="dxa" w:w="50"/>
              <w:bottom w:type="dxa" w:w="30"/>
              <w:right w:type="dxa" w:w="50"/>
            </w:tcMar>
          </w:tcPr>
          <w:p>
            <w:r>
              <w:rPr>
                <w:rFonts w:ascii="Yu Gothic" w:cs="Yu Gothic" w:eastAsia="Yu Gothic" w:hAnsi="Yu Gothic"/>
                <w:b w:val="false"/>
                <w:bCs w:val="false"/>
                <w:sz w:val="13"/>
                <w:szCs w:val="13"/>
              </w:rPr>
              <w:t xml:space="preserve">グロスチャーン（年率）</w:t>
            </w:r>
          </w:p>
        </w:tc>
        <w:tc>
          <w:tcPr>
            <w:tcW w:type="pct" w:w="40%"/>
            <w:tcMar>
              <w:top w:type="dxa" w:w="30"/>
              <w:left w:type="dxa" w:w="50"/>
              <w:bottom w:type="dxa" w:w="30"/>
              <w:right w:type="dxa" w:w="50"/>
            </w:tcMar>
          </w:tcPr>
          <w:p>
            <w:r>
              <w:rPr>
                <w:rFonts w:ascii="Yu Gothic" w:cs="Yu Gothic" w:eastAsia="Yu Gothic" w:hAnsi="Yu Gothic"/>
                <w:b w:val="false"/>
                <w:bCs w:val="false"/>
                <w:sz w:val="13"/>
                <w:szCs w:val="13"/>
              </w:rPr>
              <w:t xml:space="preserve">解約による収益喪失率</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8%</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7%</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6%</w:t>
            </w:r>
          </w:p>
        </w:tc>
      </w:tr>
      <w:tr>
        <w:tc>
          <w:tcPr>
            <w:tcW w:type="pct" w:w="20%"/>
            <w:tcMar>
              <w:top w:type="dxa" w:w="30"/>
              <w:left w:type="dxa" w:w="50"/>
              <w:bottom w:type="dxa" w:w="30"/>
              <w:right w:type="dxa" w:w="50"/>
            </w:tcMar>
          </w:tcPr>
          <w:p>
            <w:r>
              <w:rPr>
                <w:rFonts w:ascii="Yu Gothic" w:cs="Yu Gothic" w:eastAsia="Yu Gothic" w:hAnsi="Yu Gothic"/>
                <w:b w:val="false"/>
                <w:bCs w:val="false"/>
                <w:sz w:val="13"/>
                <w:szCs w:val="13"/>
              </w:rPr>
              <w:t xml:space="preserve">CAC回収期間</w:t>
            </w:r>
          </w:p>
        </w:tc>
        <w:tc>
          <w:tcPr>
            <w:tcW w:type="pct" w:w="40%"/>
            <w:tcMar>
              <w:top w:type="dxa" w:w="30"/>
              <w:left w:type="dxa" w:w="50"/>
              <w:bottom w:type="dxa" w:w="30"/>
              <w:right w:type="dxa" w:w="50"/>
            </w:tcMar>
          </w:tcPr>
          <w:p>
            <w:r>
              <w:rPr>
                <w:rFonts w:ascii="Yu Gothic" w:cs="Yu Gothic" w:eastAsia="Yu Gothic" w:hAnsi="Yu Gothic"/>
                <w:b w:val="false"/>
                <w:bCs w:val="false"/>
                <w:sz w:val="13"/>
                <w:szCs w:val="13"/>
              </w:rPr>
              <w:t xml:space="preserve">顧客獲得コスト÷（新規顧客の月間粗利）</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18か月</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15か月</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12か月</w:t>
            </w:r>
          </w:p>
        </w:tc>
      </w:tr>
      <w:tr>
        <w:tc>
          <w:tcPr>
            <w:tcW w:type="pct" w:w="20%"/>
            <w:tcMar>
              <w:top w:type="dxa" w:w="30"/>
              <w:left w:type="dxa" w:w="50"/>
              <w:bottom w:type="dxa" w:w="30"/>
              <w:right w:type="dxa" w:w="50"/>
            </w:tcMar>
          </w:tcPr>
          <w:p>
            <w:r>
              <w:rPr>
                <w:rFonts w:ascii="Yu Gothic" w:cs="Yu Gothic" w:eastAsia="Yu Gothic" w:hAnsi="Yu Gothic"/>
                <w:b w:val="false"/>
                <w:bCs w:val="false"/>
                <w:sz w:val="13"/>
                <w:szCs w:val="13"/>
              </w:rPr>
              <w:t xml:space="preserve">LTV/CAC</w:t>
            </w:r>
          </w:p>
        </w:tc>
        <w:tc>
          <w:tcPr>
            <w:tcW w:type="pct" w:w="40%"/>
            <w:tcMar>
              <w:top w:type="dxa" w:w="30"/>
              <w:left w:type="dxa" w:w="50"/>
              <w:bottom w:type="dxa" w:w="30"/>
              <w:right w:type="dxa" w:w="50"/>
            </w:tcMar>
          </w:tcPr>
          <w:p>
            <w:r>
              <w:rPr>
                <w:rFonts w:ascii="Yu Gothic" w:cs="Yu Gothic" w:eastAsia="Yu Gothic" w:hAnsi="Yu Gothic"/>
                <w:b w:val="false"/>
                <w:bCs w:val="false"/>
                <w:sz w:val="13"/>
                <w:szCs w:val="13"/>
              </w:rPr>
              <w:t xml:space="preserve">顧客生涯価値÷顧客獲得コスト</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2.8x</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3.3x</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4.0x</w:t>
            </w:r>
          </w:p>
        </w:tc>
      </w:tr>
      <w:tr>
        <w:tc>
          <w:tcPr>
            <w:tcW w:type="pct" w:w="20%"/>
            <w:tcMar>
              <w:top w:type="dxa" w:w="30"/>
              <w:left w:type="dxa" w:w="50"/>
              <w:bottom w:type="dxa" w:w="30"/>
              <w:right w:type="dxa" w:w="50"/>
            </w:tcMar>
          </w:tcPr>
          <w:p>
            <w:r>
              <w:rPr>
                <w:rFonts w:ascii="Yu Gothic" w:cs="Yu Gothic" w:eastAsia="Yu Gothic" w:hAnsi="Yu Gothic"/>
                <w:b w:val="false"/>
                <w:bCs w:val="false"/>
                <w:sz w:val="13"/>
                <w:szCs w:val="13"/>
              </w:rPr>
              <w:t xml:space="preserve">Rule of 40</w:t>
            </w:r>
          </w:p>
        </w:tc>
        <w:tc>
          <w:tcPr>
            <w:tcW w:type="pct" w:w="40%"/>
            <w:tcMar>
              <w:top w:type="dxa" w:w="30"/>
              <w:left w:type="dxa" w:w="50"/>
              <w:bottom w:type="dxa" w:w="30"/>
              <w:right w:type="dxa" w:w="50"/>
            </w:tcMar>
          </w:tcPr>
          <w:p>
            <w:r>
              <w:rPr>
                <w:rFonts w:ascii="Yu Gothic" w:cs="Yu Gothic" w:eastAsia="Yu Gothic" w:hAnsi="Yu Gothic"/>
                <w:b w:val="false"/>
                <w:bCs w:val="false"/>
                <w:sz w:val="13"/>
                <w:szCs w:val="13"/>
              </w:rPr>
              <w:t xml:space="preserve">売上成長率(%)＋営業利益率(%)</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28%</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39%</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51%</w:t>
            </w:r>
          </w:p>
        </w:tc>
      </w:tr>
      <w:tr>
        <w:tc>
          <w:tcPr>
            <w:tcW w:type="pct" w:w="20%"/>
            <w:tcMar>
              <w:top w:type="dxa" w:w="30"/>
              <w:left w:type="dxa" w:w="50"/>
              <w:bottom w:type="dxa" w:w="30"/>
              <w:right w:type="dxa" w:w="50"/>
            </w:tcMar>
          </w:tcPr>
          <w:p>
            <w:r>
              <w:rPr>
                <w:rFonts w:ascii="Yu Gothic" w:cs="Yu Gothic" w:eastAsia="Yu Gothic" w:hAnsi="Yu Gothic"/>
                <w:b w:val="false"/>
                <w:bCs w:val="false"/>
                <w:sz w:val="13"/>
                <w:szCs w:val="13"/>
              </w:rPr>
              <w:t xml:space="preserve">売上総利益率</w:t>
            </w:r>
          </w:p>
        </w:tc>
        <w:tc>
          <w:tcPr>
            <w:tcW w:type="pct" w:w="40%"/>
            <w:tcMar>
              <w:top w:type="dxa" w:w="30"/>
              <w:left w:type="dxa" w:w="50"/>
              <w:bottom w:type="dxa" w:w="30"/>
              <w:right w:type="dxa" w:w="50"/>
            </w:tcMar>
          </w:tcPr>
          <w:p>
            <w:r>
              <w:rPr>
                <w:rFonts w:ascii="Yu Gothic" w:cs="Yu Gothic" w:eastAsia="Yu Gothic" w:hAnsi="Yu Gothic"/>
                <w:b w:val="false"/>
                <w:bCs w:val="false"/>
                <w:sz w:val="13"/>
                <w:szCs w:val="13"/>
              </w:rPr>
              <w:t xml:space="preserve">売上総利益÷売上高</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78%</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80%</w:t>
            </w:r>
          </w:p>
        </w:tc>
        <w:tc>
          <w:tcPr>
            <w:tcW w:type="pct" w:w="13%"/>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82%</w:t>
            </w:r>
          </w:p>
        </w:tc>
      </w:tr>
    </w:tbl>
    <w:p>
      <w:pPr>
        <w:pStyle w:val="Heading1"/>
        <w:spacing w:after="80" w:before="280"/>
      </w:pPr>
      <w:r>
        <w:rPr>
          <w:rFonts w:ascii="Yu Gothic" w:cs="Yu Gothic" w:eastAsia="Yu Gothic" w:hAnsi="Yu Gothic"/>
          <w:b/>
          <w:bCs/>
        </w:rPr>
        <w:t xml:space="preserve">5. 投資評価（NPV/IRR）</w:t>
      </w:r>
    </w:p>
    <w:tbl>
      <w:tblPr>
        <w:tblW w:type="pct" w:w="100%"/>
        <w:tblBorders>
          <w:top w:val="single" w:color="CFC6B0" w:sz="3"/>
          <w:left w:val="single" w:color="CFC6B0" w:sz="3"/>
          <w:bottom w:val="single" w:color="CFC6B0" w:sz="3"/>
          <w:right w:val="single" w:color="CFC6B0" w:sz="3"/>
          <w:insideH w:val="single" w:color="CFC6B0" w:sz="3"/>
          <w:insideV w:val="single" w:color="CFC6B0" w:sz="3"/>
        </w:tblBorders>
      </w:tblPr>
      <w:tblGrid>
        <w:gridCol w:w="100"/>
        <w:gridCol w:w="100"/>
        <w:gridCol w:w="100"/>
        <w:gridCol w:w="100"/>
        <w:gridCol w:w="100"/>
        <w:gridCol w:w="100"/>
      </w:tblGrid>
      <w:tr>
        <w:trPr>
          <w:tblHeader/>
        </w:trPr>
        <w:tc>
          <w:tcPr>
            <w:tcW w:type="pct" w:w="2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投資</w:t>
            </w:r>
          </w:p>
        </w:tc>
        <w:tc>
          <w:tcPr>
            <w:tcW w:type="pct" w:w="14%"/>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投資額</w:t>
            </w:r>
          </w:p>
        </w:tc>
        <w:tc>
          <w:tcPr>
            <w:tcW w:type="pct" w:w="14%"/>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NPV</w:t>
            </w:r>
          </w:p>
        </w:tc>
        <w:tc>
          <w:tcPr>
            <w:tcW w:type="pct" w:w="12%"/>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IRR</w:t>
            </w:r>
          </w:p>
        </w:tc>
        <w:tc>
          <w:tcPr>
            <w:tcW w:type="pct" w:w="14%"/>
            <w:shd w:fill="ECE4D2" w:color="auto" w:val="clear"/>
            <w:tcMar>
              <w:top w:type="dxa" w:w="30"/>
              <w:left w:type="dxa" w:w="50"/>
              <w:bottom w:type="dxa" w:w="30"/>
              <w:right w:type="dxa" w:w="50"/>
            </w:tcMar>
          </w:tcPr>
          <w:p>
            <w:pPr>
              <w:jc w:val="right"/>
            </w:pPr>
            <w:r>
              <w:rPr>
                <w:rFonts w:ascii="Yu Gothic" w:cs="Yu Gothic" w:eastAsia="Yu Gothic" w:hAnsi="Yu Gothic"/>
                <w:b/>
                <w:bCs/>
                <w:sz w:val="13"/>
                <w:szCs w:val="13"/>
              </w:rPr>
              <w:t xml:space="preserve">回収</w:t>
            </w:r>
          </w:p>
        </w:tc>
        <w:tc>
          <w:tcPr>
            <w:tcW w:type="pct" w:w="18%"/>
            <w:shd w:fill="ECE4D2" w:color="auto" w:val="clear"/>
            <w:tcMar>
              <w:top w:type="dxa" w:w="30"/>
              <w:left w:type="dxa" w:w="50"/>
              <w:bottom w:type="dxa" w:w="30"/>
              <w:right w:type="dxa" w:w="50"/>
            </w:tcMar>
          </w:tcPr>
          <w:p>
            <w:r>
              <w:rPr>
                <w:rFonts w:ascii="Yu Gothic" w:cs="Yu Gothic" w:eastAsia="Yu Gothic" w:hAnsi="Yu Gothic"/>
                <w:b/>
                <w:bCs/>
                <w:sz w:val="13"/>
                <w:szCs w:val="13"/>
              </w:rPr>
              <w:t xml:space="preserve">判断</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新規顧客獲得（S&amp;M）投資拡大</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3年累計 約2,017百万円</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+780百万円</w:t>
            </w:r>
          </w:p>
        </w:tc>
        <w:tc>
          <w:tcPr>
            <w:tcW w:type="pct" w:w="12%"/>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34%</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約2.1年</w:t>
            </w:r>
          </w:p>
        </w:tc>
        <w:tc>
          <w:tcPr>
            <w:tcW w:type="pct" w:w="18%"/>
            <w:tcMar>
              <w:top w:type="dxa" w:w="30"/>
              <w:left w:type="dxa" w:w="50"/>
              <w:bottom w:type="dxa" w:w="30"/>
              <w:right w:type="dxa" w:w="50"/>
            </w:tcMar>
          </w:tcPr>
          <w:p>
            <w:r>
              <w:rPr>
                <w:rFonts w:ascii="Yu Gothic" w:cs="Yu Gothic" w:eastAsia="Yu Gothic" w:hAnsi="Yu Gothic"/>
                <w:b w:val="false"/>
                <w:bCs w:val="false"/>
                <w:sz w:val="13"/>
                <w:szCs w:val="13"/>
              </w:rPr>
              <w:t xml:space="preserve">実行</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プロダクト基盤・AI機能R&amp;D</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3年累計 約1,286百万円</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+420百万円</w:t>
            </w:r>
          </w:p>
        </w:tc>
        <w:tc>
          <w:tcPr>
            <w:tcW w:type="pct" w:w="12%"/>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24%</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約3.0年</w:t>
            </w:r>
          </w:p>
        </w:tc>
        <w:tc>
          <w:tcPr>
            <w:tcW w:type="pct" w:w="18%"/>
            <w:tcMar>
              <w:top w:type="dxa" w:w="30"/>
              <w:left w:type="dxa" w:w="50"/>
              <w:bottom w:type="dxa" w:w="30"/>
              <w:right w:type="dxa" w:w="50"/>
            </w:tcMar>
          </w:tcPr>
          <w:p>
            <w:r>
              <w:rPr>
                <w:rFonts w:ascii="Yu Gothic" w:cs="Yu Gothic" w:eastAsia="Yu Gothic" w:hAnsi="Yu Gothic"/>
                <w:b w:val="false"/>
                <w:bCs w:val="false"/>
                <w:sz w:val="13"/>
                <w:szCs w:val="13"/>
              </w:rPr>
              <w:t xml:space="preserve">段階実行</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セキュリティ・全般統制（ITGC）強化</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3年累計 約180百万円</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定量評価困難（リスク低減）</w:t>
            </w:r>
          </w:p>
        </w:tc>
        <w:tc>
          <w:tcPr>
            <w:tcW w:type="pct" w:w="12%"/>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N/A</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N/A</w:t>
            </w:r>
          </w:p>
        </w:tc>
        <w:tc>
          <w:tcPr>
            <w:tcW w:type="pct" w:w="18%"/>
            <w:tcMar>
              <w:top w:type="dxa" w:w="30"/>
              <w:left w:type="dxa" w:w="50"/>
              <w:bottom w:type="dxa" w:w="30"/>
              <w:right w:type="dxa" w:w="50"/>
            </w:tcMar>
          </w:tcPr>
          <w:p>
            <w:r>
              <w:rPr>
                <w:rFonts w:ascii="Yu Gothic" w:cs="Yu Gothic" w:eastAsia="Yu Gothic" w:hAnsi="Yu Gothic"/>
                <w:b w:val="false"/>
                <w:bCs w:val="false"/>
                <w:sz w:val="13"/>
                <w:szCs w:val="13"/>
              </w:rPr>
              <w:t xml:space="preserve">必須実行</w:t>
            </w:r>
          </w:p>
        </w:tc>
      </w:tr>
      <w:tr>
        <w:tc>
          <w:tcPr>
            <w:tcW w:type="pct" w:w="28%"/>
            <w:tcMar>
              <w:top w:type="dxa" w:w="30"/>
              <w:left w:type="dxa" w:w="50"/>
              <w:bottom w:type="dxa" w:w="30"/>
              <w:right w:type="dxa" w:w="50"/>
            </w:tcMar>
          </w:tcPr>
          <w:p>
            <w:r>
              <w:rPr>
                <w:rFonts w:ascii="Yu Gothic" w:cs="Yu Gothic" w:eastAsia="Yu Gothic" w:hAnsi="Yu Gothic"/>
                <w:b w:val="false"/>
                <w:bCs w:val="false"/>
                <w:sz w:val="13"/>
                <w:szCs w:val="13"/>
              </w:rPr>
              <w:t xml:space="preserve">カスタマーサクセス（CS）基盤投資</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3年累計 約240百万円</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+310百万円</w:t>
            </w:r>
          </w:p>
        </w:tc>
        <w:tc>
          <w:tcPr>
            <w:tcW w:type="pct" w:w="12%"/>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41%</w:t>
            </w:r>
          </w:p>
        </w:tc>
        <w:tc>
          <w:tcPr>
            <w:tcW w:type="pct" w:w="14%"/>
            <w:tcMar>
              <w:top w:type="dxa" w:w="30"/>
              <w:left w:type="dxa" w:w="50"/>
              <w:bottom w:type="dxa" w:w="30"/>
              <w:right w:type="dxa" w:w="50"/>
            </w:tcMar>
          </w:tcPr>
          <w:p>
            <w:pPr>
              <w:jc w:val="right"/>
            </w:pPr>
            <w:r>
              <w:rPr>
                <w:rFonts w:ascii="Yu Gothic" w:cs="Yu Gothic" w:eastAsia="Yu Gothic" w:hAnsi="Yu Gothic"/>
                <w:b w:val="false"/>
                <w:bCs w:val="false"/>
                <w:sz w:val="13"/>
                <w:szCs w:val="13"/>
              </w:rPr>
              <w:t xml:space="preserve">約1.6年</w:t>
            </w:r>
          </w:p>
        </w:tc>
        <w:tc>
          <w:tcPr>
            <w:tcW w:type="pct" w:w="18%"/>
            <w:tcMar>
              <w:top w:type="dxa" w:w="30"/>
              <w:left w:type="dxa" w:w="50"/>
              <w:bottom w:type="dxa" w:w="30"/>
              <w:right w:type="dxa" w:w="50"/>
            </w:tcMar>
          </w:tcPr>
          <w:p>
            <w:r>
              <w:rPr>
                <w:rFonts w:ascii="Yu Gothic" w:cs="Yu Gothic" w:eastAsia="Yu Gothic" w:hAnsi="Yu Gothic"/>
                <w:b w:val="false"/>
                <w:bCs w:val="false"/>
                <w:sz w:val="13"/>
                <w:szCs w:val="13"/>
              </w:rPr>
              <w:t xml:space="preserve">実行</w:t>
            </w:r>
          </w:p>
        </w:tc>
      </w:tr>
    </w:tbl>
    <w:p>
      <w:pPr>
        <w:pStyle w:val="Heading1"/>
        <w:spacing w:after="80" w:before="280"/>
      </w:pPr>
      <w:r>
        <w:rPr>
          <w:rFonts w:ascii="Yu Gothic" w:cs="Yu Gothic" w:eastAsia="Yu Gothic" w:hAnsi="Yu Gothic"/>
          <w:b/>
          <w:bCs/>
        </w:rPr>
        <w:t xml:space="preserve">6. 予算編成・予実管理の設計</w:t>
      </w:r>
    </w:p>
    <w:p>
      <w:pPr>
        <w:pStyle w:val="Heading3"/>
        <w:spacing w:after="40" w:before="160"/>
      </w:pPr>
      <w:r>
        <w:rPr>
          <w:rFonts w:ascii="Yu Gothic" w:cs="Yu Gothic" w:eastAsia="Yu Gothic" w:hAnsi="Yu Gothic"/>
          <w:b/>
          <w:bCs/>
        </w:rPr>
        <w:t xml:space="preserve">BC-01　サブスク収益の自動按分統制（収益認識）</w:t>
      </w:r>
    </w:p>
    <w:p>
      <w:pPr>
        <w:spacing w:after="60"/>
      </w:pPr>
      <w:r>
        <w:rPr>
          <w:rFonts w:ascii="Yu Gothic" w:cs="Yu Gothic" w:eastAsia="Yu Gothic" w:hAnsi="Yu Gothic"/>
          <w:b w:val="false"/>
          <w:bCs w:val="false"/>
          <w:sz w:val="18"/>
          <w:szCs w:val="18"/>
        </w:rPr>
        <w:t xml:space="preserve">設計・運用：契約条件（恒続アクセス権/一時点）を契約マスタで判別し、月次で前受→収益への按分を自動計上。複合契約は独立販売価格で配分するロジックを実装。</w:t>
      </w:r>
    </w:p>
    <w:p>
      <w:pPr>
        <w:spacing w:after="60"/>
      </w:pPr>
      <w:r>
        <w:rPr>
          <w:rFonts w:ascii="Yu Gothic" w:cs="Yu Gothic" w:eastAsia="Yu Gothic" w:hAnsi="Yu Gothic"/>
          <w:b w:val="false"/>
          <w:bCs w:val="false"/>
          <w:color w:val="8A8170"/>
          <w:sz w:val="16"/>
          <w:szCs w:val="16"/>
        </w:rPr>
        <w:t xml:space="preserve">留意：業務処理統制。月次で会計士レビュー、按分残高（契約負債）の整合確認。</w:t>
      </w:r>
    </w:p>
    <w:p>
      <w:pPr>
        <w:pStyle w:val="Heading3"/>
        <w:spacing w:after="40" w:before="160"/>
      </w:pPr>
      <w:r>
        <w:rPr>
          <w:rFonts w:ascii="Yu Gothic" w:cs="Yu Gothic" w:eastAsia="Yu Gothic" w:hAnsi="Yu Gothic"/>
          <w:b/>
          <w:bCs/>
        </w:rPr>
        <w:t xml:space="preserve">BC-02　四半期ローリング予算（予算編成）</w:t>
      </w:r>
    </w:p>
    <w:p>
      <w:pPr>
        <w:spacing w:after="60"/>
      </w:pPr>
      <w:r>
        <w:rPr>
          <w:rFonts w:ascii="Yu Gothic" w:cs="Yu Gothic" w:eastAsia="Yu Gothic" w:hAnsi="Yu Gothic"/>
          <w:b w:val="false"/>
          <w:bCs w:val="false"/>
          <w:sz w:val="18"/>
          <w:szCs w:val="18"/>
        </w:rPr>
        <w:t xml:space="preserve">設計・運用：ARR・新規受注・チャーンを前提にトップダウン目標とボトムアップ積上げを突合。人員計画と費用を連動させ四半期ごとに見直し。</w:t>
      </w:r>
    </w:p>
    <w:p>
      <w:pPr>
        <w:spacing w:after="60"/>
      </w:pPr>
      <w:r>
        <w:rPr>
          <w:rFonts w:ascii="Yu Gothic" w:cs="Yu Gothic" w:eastAsia="Yu Gothic" w:hAnsi="Yu Gothic"/>
          <w:b w:val="false"/>
          <w:bCs w:val="false"/>
          <w:color w:val="8A8170"/>
          <w:sz w:val="16"/>
          <w:szCs w:val="16"/>
        </w:rPr>
        <w:t xml:space="preserve">留意：前提（成長率・チャーン）を明示し、シナリオ（ベース/上振れ/下振れ）を併設。</w:t>
      </w:r>
    </w:p>
    <w:p>
      <w:pPr>
        <w:pStyle w:val="Heading3"/>
        <w:spacing w:after="40" w:before="160"/>
      </w:pPr>
      <w:r>
        <w:rPr>
          <w:rFonts w:ascii="Yu Gothic" w:cs="Yu Gothic" w:eastAsia="Yu Gothic" w:hAnsi="Yu Gothic"/>
          <w:b/>
          <w:bCs/>
        </w:rPr>
        <w:t xml:space="preserve">BC-03　KPI・予実差異分析（予実管理）</w:t>
      </w:r>
    </w:p>
    <w:p>
      <w:pPr>
        <w:spacing w:after="60"/>
      </w:pPr>
      <w:r>
        <w:rPr>
          <w:rFonts w:ascii="Yu Gothic" w:cs="Yu Gothic" w:eastAsia="Yu Gothic" w:hAnsi="Yu Gothic"/>
          <w:b w:val="false"/>
          <w:bCs w:val="false"/>
          <w:sz w:val="18"/>
          <w:szCs w:val="18"/>
        </w:rPr>
        <w:t xml:space="preserve">設計・運用：ARR/NRR/CAC/チャーンを月次ダッシュボードで予実比較。差異5%超は要因分析と是正アクションを起票。</w:t>
      </w:r>
    </w:p>
    <w:p>
      <w:pPr>
        <w:spacing w:after="60"/>
      </w:pPr>
      <w:r>
        <w:rPr>
          <w:rFonts w:ascii="Yu Gothic" w:cs="Yu Gothic" w:eastAsia="Yu Gothic" w:hAnsi="Yu Gothic"/>
          <w:b w:val="false"/>
          <w:bCs w:val="false"/>
          <w:color w:val="8A8170"/>
          <w:sz w:val="16"/>
          <w:szCs w:val="16"/>
        </w:rPr>
        <w:t xml:space="preserve">留意：S&amp;M投資効率（LTV/CAC）が閾値割れ時は獲得投資を自動的に抑制。</w:t>
      </w:r>
    </w:p>
    <w:p>
      <w:pPr>
        <w:pStyle w:val="Heading3"/>
        <w:spacing w:after="40" w:before="160"/>
      </w:pPr>
      <w:r>
        <w:rPr>
          <w:rFonts w:ascii="Yu Gothic" w:cs="Yu Gothic" w:eastAsia="Yu Gothic" w:hAnsi="Yu Gothic"/>
          <w:b/>
          <w:bCs/>
        </w:rPr>
        <w:t xml:space="preserve">BC-04　アクセス権・本番変更管理（IT全般統制）</w:t>
      </w:r>
    </w:p>
    <w:p>
      <w:pPr>
        <w:spacing w:after="60"/>
      </w:pPr>
      <w:r>
        <w:rPr>
          <w:rFonts w:ascii="Yu Gothic" w:cs="Yu Gothic" w:eastAsia="Yu Gothic" w:hAnsi="Yu Gothic"/>
          <w:b w:val="false"/>
          <w:bCs w:val="false"/>
          <w:sz w:val="18"/>
          <w:szCs w:val="18"/>
        </w:rPr>
        <w:t xml:space="preserve">設計・運用：本番環境への変更は申請・承認・テスト・リリースのゲートを通過。職務分掌に基づくロール別権限を四半期ごとにレビュー。</w:t>
      </w:r>
    </w:p>
    <w:p>
      <w:pPr>
        <w:spacing w:after="60"/>
      </w:pPr>
      <w:r>
        <w:rPr>
          <w:rFonts w:ascii="Yu Gothic" w:cs="Yu Gothic" w:eastAsia="Yu Gothic" w:hAnsi="Yu Gothic"/>
          <w:b w:val="false"/>
          <w:bCs w:val="false"/>
          <w:color w:val="8A8170"/>
          <w:sz w:val="16"/>
          <w:szCs w:val="16"/>
        </w:rPr>
        <w:t xml:space="preserve">留意：最重要統制。監査ログを保管し、権限濫用・改ざんを牽制。</w:t>
      </w:r>
    </w:p>
    <w:p>
      <w:pPr>
        <w:pStyle w:val="Heading3"/>
        <w:spacing w:after="40" w:before="160"/>
      </w:pPr>
      <w:r>
        <w:rPr>
          <w:rFonts w:ascii="Yu Gothic" w:cs="Yu Gothic" w:eastAsia="Yu Gothic" w:hAnsi="Yu Gothic"/>
          <w:b/>
          <w:bCs/>
        </w:rPr>
        <w:t xml:space="preserve">BC-05　引当金・回収可能性評価（見積り）</w:t>
      </w:r>
    </w:p>
    <w:p>
      <w:pPr>
        <w:spacing w:after="60"/>
      </w:pPr>
      <w:r>
        <w:rPr>
          <w:rFonts w:ascii="Yu Gothic" w:cs="Yu Gothic" w:eastAsia="Yu Gothic" w:hAnsi="Yu Gothic"/>
          <w:b w:val="false"/>
          <w:bCs w:val="false"/>
          <w:sz w:val="18"/>
          <w:szCs w:val="18"/>
        </w:rPr>
        <w:t xml:space="preserve">設計・運用：返品・割戻引当金は定額法、変動対価は実現可能性限度法で見積り。売上債権は回収可能性を区分評価し貸倒引当を設定。</w:t>
      </w:r>
    </w:p>
    <w:p>
      <w:pPr>
        <w:spacing w:after="60"/>
      </w:pPr>
      <w:r>
        <w:rPr>
          <w:rFonts w:ascii="Yu Gothic" w:cs="Yu Gothic" w:eastAsia="Yu Gothic" w:hAnsi="Yu Gothic"/>
          <w:b w:val="false"/>
          <w:bCs w:val="false"/>
          <w:color w:val="8A8170"/>
          <w:sz w:val="16"/>
          <w:szCs w:val="16"/>
        </w:rPr>
        <w:t xml:space="preserve">留意：繰延税金資産の回収可能性は将来課税所得計画と整合させ慎重判断。</w:t>
      </w:r>
    </w:p>
    <w:p>
      <w:pPr>
        <w:pStyle w:val="Heading3"/>
        <w:spacing w:after="40" w:before="160"/>
      </w:pPr>
      <w:r>
        <w:rPr>
          <w:rFonts w:ascii="Yu Gothic" w:cs="Yu Gothic" w:eastAsia="Yu Gothic" w:hAnsi="Yu Gothic"/>
          <w:b/>
          <w:bCs/>
        </w:rPr>
        <w:t xml:space="preserve">BC-06　キャッシュランウェイ監視（資金管理）</w:t>
      </w:r>
    </w:p>
    <w:p>
      <w:pPr>
        <w:spacing w:after="60"/>
      </w:pPr>
      <w:r>
        <w:rPr>
          <w:rFonts w:ascii="Yu Gothic" w:cs="Yu Gothic" w:eastAsia="Yu Gothic" w:hAnsi="Yu Gothic"/>
          <w:b w:val="false"/>
          <w:bCs w:val="false"/>
          <w:sz w:val="18"/>
          <w:szCs w:val="18"/>
        </w:rPr>
        <w:t xml:space="preserve">設計・運用：調達資金とFCFを基にランウェイ（手元資金÷月次バーン）を月次監視。18か月未満で警戒、12か月未満で投資抑制トリガー。</w:t>
      </w:r>
    </w:p>
    <w:p>
      <w:pPr>
        <w:spacing w:after="60"/>
      </w:pPr>
      <w:r>
        <w:rPr>
          <w:rFonts w:ascii="Yu Gothic" w:cs="Yu Gothic" w:eastAsia="Yu Gothic" w:hAnsi="Yu Gothic"/>
          <w:b w:val="false"/>
          <w:bCs w:val="false"/>
          <w:color w:val="8A8170"/>
          <w:sz w:val="16"/>
          <w:szCs w:val="16"/>
        </w:rPr>
        <w:t xml:space="preserve">留意：期間収益と現金入金のズレ（前受/売掛）を考慮した実質バーンで管理。</w:t>
      </w:r>
    </w:p>
    <w:p>
      <w:pPr>
        <w:pStyle w:val="Heading1"/>
        <w:spacing w:after="80" w:before="280"/>
      </w:pPr>
      <w:r>
        <w:rPr>
          <w:rFonts w:ascii="Yu Gothic" w:cs="Yu Gothic" w:eastAsia="Yu Gothic" w:hAnsi="Yu Gothic"/>
          <w:b/>
          <w:bCs/>
        </w:rPr>
        <w:t xml:space="preserve">7. 総合所見</w:t>
      </w:r>
    </w:p>
    <w:p>
      <w:pPr>
        <w:spacing w:after="60"/>
      </w:pPr>
      <w:r>
        <w:rPr>
          <w:rFonts w:ascii="Yu Gothic" w:cs="Yu Gothic" w:eastAsia="Yu Gothic" w:hAnsi="Yu Gothic"/>
          <w:b w:val="false"/>
          <w:bCs w:val="false"/>
          <w:sz w:val="20"/>
          <w:szCs w:val="20"/>
        </w:rPr>
        <w:t xml:space="preserve">本中計は、ARR積み上げとNRR改善を軸に2027年3月期の黒字転換、2028年3月期のRule of 40達成（51%）と営業利益率14%を見込む。SaaS特有の前受金効果により営業CFは損益に先行して改善し、シリーズC調達と合わせ十分なランウェイを確保する。投資はLTV/CAC3.0x以上をガードレールにCS・S&amp;Mを優先配分し、ユニットエコノミクスの健全性を担保。会計上は収益認識（恒続アクセス権の期間認識・複合契約の独立販売価格配分）とITGC（アクセス権・本番変更管理）が統制の要であり、繰延税金資産の回収可能性と変動対価の見積りについては会計士レビューでの精査が必要。本ドラフトは前提感応度が高く、四半期ローリングでの更新を前提とする。</w:t>
      </w:r>
    </w:p>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Yu Gothic" w:cs="Yu Gothic" w:eastAsia="Yu Gothic" w:hAnsi="Yu Gothic"/>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サンプルSaaS株式会社 事業計画パッケージ</dc:title>
  <dc:creator>BENTO — 会計士 × AI</dc:creator>
  <cp:lastModifiedBy>Un-named</cp:lastModifiedBy>
  <cp:revision>1</cp:revision>
  <dcterms:created xsi:type="dcterms:W3CDTF">2026-07-03T07:33:40.622Z</dcterms:created>
  <dcterms:modified xsi:type="dcterms:W3CDTF">2026-07-03T07:33:40.622Z</dcterms:modified>
</cp:coreProperties>
</file>

<file path=docProps/custom.xml><?xml version="1.0" encoding="utf-8"?>
<Properties xmlns="http://schemas.openxmlformats.org/officeDocument/2006/custom-properties" xmlns:vt="http://schemas.openxmlformats.org/officeDocument/2006/docPropsVTypes"/>
</file>