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30"/>
          <w:szCs w:val="30"/>
        </w:rPr>
        <w:t xml:space="preserve">サンプルSaaS株式会社</w:t>
      </w:r>
    </w:p>
    <w:p>
      <w:pPr>
        <w:spacing w:after="20"/>
        <w:jc w:val="center"/>
      </w:pPr>
      <w:r>
        <w:rPr>
          <w:rFonts w:ascii="Yu Gothic" w:cs="Yu Gothic" w:eastAsia="Yu Gothic" w:hAnsi="Yu Gothic"/>
          <w:sz w:val="20"/>
          <w:szCs w:val="20"/>
        </w:rPr>
        <w:t xml:space="preserve">事業計画パッケージ　／　2026年3月期〜2028年3月期（中期3年計画）</w:t>
      </w:r>
    </w:p>
    <w:p>
      <w:pPr>
        <w:spacing w:after="160"/>
        <w:jc w:val="center"/>
      </w:pPr>
      <w:r>
        <w:rPr>
          <w:rFonts w:ascii="Yu Gothic" w:cs="Yu Gothic" w:eastAsia="Yu Gothic" w:hAnsi="Yu Gothic"/>
          <w:color w:val="8A8170"/>
          <w:sz w:val="15"/>
          <w:szCs w:val="15"/>
        </w:rPr>
        <w:t xml:space="preserve">AI生成ドラフト・会計士レビュー前提（数値は概算の例示）</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作成者</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
            </w:r>
          </w:p>
        </w:tc>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承認者</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
            </w:r>
          </w:p>
        </w:tc>
      </w:tr>
    </w:tbl>
    <w:p>
      <w:pPr>
        <w:pStyle w:val="Heading1"/>
        <w:spacing w:after="80" w:before="280"/>
      </w:pPr>
      <w:r>
        <w:rPr>
          <w:rFonts w:ascii="Yu Gothic" w:cs="Yu Gothic" w:eastAsia="Yu Gothic" w:hAnsi="Yu Gothic"/>
          <w:b/>
          <w:bCs/>
        </w:rPr>
        <w:t xml:space="preserve">1. 概要</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tblGrid>
      <w:tr>
        <w:tc>
          <w:tcPr>
            <w:tcW w:type="pct" w:w="22%"/>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目的</w:t>
            </w:r>
          </w:p>
        </w:tc>
        <w:tc>
          <w:tcPr>
            <w:tcW w:type="pct" w:w="78%"/>
            <w:tcMar>
              <w:top w:type="dxa" w:w="30"/>
              <w:left w:type="dxa" w:w="50"/>
              <w:bottom w:type="dxa" w:w="30"/>
              <w:right w:type="dxa" w:w="50"/>
            </w:tcMar>
          </w:tcPr>
          <w:p>
            <w:r>
              <w:rPr>
                <w:rFonts w:ascii="Yu Gothic" w:cs="Yu Gothic" w:eastAsia="Yu Gothic" w:hAnsi="Yu Gothic"/>
                <w:b w:val="false"/>
                <w:bCs w:val="false"/>
                <w:sz w:val="13"/>
                <w:szCs w:val="13"/>
              </w:rPr>
              <w:t xml:space="preserve">B2B SaaS事業の持続的成長を実現するため、ARR拡大とNRR改善を軸に、Rule of 40（成長率+営業利益率≧40%）を2年目に達成し3年目も維持・拡大する。並行してCAC回収期間の短縮とユニットエコノミクスの健全化を図り、黒字転換と営業CFの安定的プラス化を実現する。</w:t>
            </w:r>
          </w:p>
        </w:tc>
      </w:tr>
      <w:tr>
        <w:tc>
          <w:tcPr>
            <w:tcW w:type="pct" w:w="22%"/>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範囲</w:t>
            </w:r>
          </w:p>
        </w:tc>
        <w:tc>
          <w:tcPr>
            <w:tcW w:type="pct" w:w="78%"/>
            <w:tcMar>
              <w:top w:type="dxa" w:w="30"/>
              <w:left w:type="dxa" w:w="50"/>
              <w:bottom w:type="dxa" w:w="30"/>
              <w:right w:type="dxa" w:w="50"/>
            </w:tcMar>
          </w:tcPr>
          <w:p>
            <w:r>
              <w:rPr>
                <w:rFonts w:ascii="Yu Gothic" w:cs="Yu Gothic" w:eastAsia="Yu Gothic" w:hAnsi="Yu Gothic"/>
                <w:b w:val="false"/>
                <w:bCs w:val="false"/>
                <w:sz w:val="13"/>
                <w:szCs w:val="13"/>
              </w:rPr>
              <w:t xml:space="preserve">連結（単体主体）。SaaSサブスクリプション収益（月額/年額）、導入支援・カスタマイズ収益を対象。収益認識会計基準（企業会計基準第29号）に準拠した収益認識（アクセス権は期間認識、導入支援は履行義務別に独立販売価格で配分）を前提とする。</w:t>
            </w:r>
          </w:p>
        </w:tc>
      </w:tr>
      <w:tr>
        <w:tc>
          <w:tcPr>
            <w:tcW w:type="pct" w:w="22%"/>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主要前提</w:t>
            </w:r>
          </w:p>
        </w:tc>
        <w:tc>
          <w:tcPr>
            <w:tcW w:type="pct" w:w="78%"/>
            <w:tcMar>
              <w:top w:type="dxa" w:w="30"/>
              <w:left w:type="dxa" w:w="50"/>
              <w:bottom w:type="dxa" w:w="30"/>
              <w:right w:type="dxa" w:w="50"/>
            </w:tcMar>
          </w:tcPr>
          <w:p>
            <w:r>
              <w:rPr>
                <w:rFonts w:ascii="Yu Gothic" w:cs="Yu Gothic" w:eastAsia="Yu Gothic" w:hAnsi="Yu Gothic"/>
                <w:b w:val="false"/>
                <w:bCs w:val="false"/>
                <w:sz w:val="13"/>
                <w:szCs w:val="13"/>
              </w:rPr>
              <w:t xml:space="preserve">①新規ARRはマーケ・セールス人員投資に概ね比例、②グロスチャーン年率8%→6%へ改善、NRRは108%→118%、③粗利率はインフラ最適化により78%→82%、④2027年3月期にシリーズC調達15億円を実行、⑤開発費は原則発生時費用処理（資本化は限定的）、⑥法人実効税率30%（繰延税金資産は回収可能性を慎重評価）。 ⑦2025年3月期末の貸借対照表（現金400・売上債権150・固定資産300・契約負債200・借入金100・資本金等1,000・累積損失△450）を期首としてBSを連動。</w:t>
            </w:r>
          </w:p>
        </w:tc>
      </w:tr>
      <w:tr>
        <w:tc>
          <w:tcPr>
            <w:tcW w:type="pct" w:w="22%"/>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進め方</w:t>
            </w:r>
          </w:p>
        </w:tc>
        <w:tc>
          <w:tcPr>
            <w:tcW w:type="pct" w:w="78%"/>
            <w:tcMar>
              <w:top w:type="dxa" w:w="30"/>
              <w:left w:type="dxa" w:w="50"/>
              <w:bottom w:type="dxa" w:w="30"/>
              <w:right w:type="dxa" w:w="50"/>
            </w:tcMar>
          </w:tcPr>
          <w:p>
            <w:r>
              <w:rPr>
                <w:rFonts w:ascii="Yu Gothic" w:cs="Yu Gothic" w:eastAsia="Yu Gothic" w:hAnsi="Yu Gothic"/>
                <w:b w:val="false"/>
                <w:bCs w:val="false"/>
                <w:sz w:val="13"/>
                <w:szCs w:val="13"/>
              </w:rPr>
              <w:t xml:space="preserve">ARR積み上げ型でトップラインをドライブし、人員計画（S&amp;M/R&amp;D/G&amp;A）と連動させて費用を積算。損益→運転資本（前受金・売掛）→資金繰りの順で3表を連動。投資はDCF（WACC12%）でNPV/IRR/回収期間を評価し、四半期ローリング予算と予実差異分析で統制する。 Excel版は損益・資金・貸借対照表・KPIを数式で連動させた計画モデル（入力値を変えると再計算）。</w:t>
            </w:r>
          </w:p>
        </w:tc>
      </w:tr>
    </w:tbl>
    <w:p>
      <w:pPr>
        <w:pStyle w:val="Heading1"/>
        <w:spacing w:after="80" w:before="280"/>
      </w:pPr>
      <w:r>
        <w:rPr>
          <w:rFonts w:ascii="Yu Gothic" w:cs="Yu Gothic" w:eastAsia="Yu Gothic" w:hAnsi="Yu Gothic"/>
          <w:b/>
          <w:bCs/>
        </w:rPr>
        <w:t xml:space="preserve">2. 損益計画</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損益項目</w:t>
            </w:r>
          </w:p>
        </w:tc>
        <w:tc>
          <w:tcPr>
            <w:tcW w:type="pct" w:w="10%"/>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単位</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2026年3月期</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2027年3月期</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2028年3月期</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売上高（サブスクリプション）</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1,020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1,470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2,030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売上高（導入支援・カスタマイズ）</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210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270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売上高合計</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1,200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1,680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2,300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売上原価</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264</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336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414</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売上総利益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936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1,344</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1,886</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販売費（S&amp;M）</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540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672</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805</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研究開発費（R&amp;D）</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360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420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506</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一般管理費（G&amp;A）</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218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253</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営業利益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-144</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34</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322</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営業外損益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税引前利益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312</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法人税等</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94</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当期純利益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218</w:t>
            </w:r>
          </w:p>
        </w:tc>
      </w:tr>
    </w:tbl>
    <w:p>
      <w:pPr>
        <w:pStyle w:val="Heading1"/>
        <w:spacing w:after="80" w:before="280"/>
      </w:pPr>
      <w:r>
        <w:rPr>
          <w:rFonts w:ascii="Yu Gothic" w:cs="Yu Gothic" w:eastAsia="Yu Gothic" w:hAnsi="Yu Gothic"/>
          <w:b/>
          <w:bCs/>
        </w:rPr>
        <w:t xml:space="preserve">3. 資金計画（キャッシュ・フロー）</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資金項目</w:t>
            </w:r>
          </w:p>
        </w:tc>
        <w:tc>
          <w:tcPr>
            <w:tcW w:type="pct" w:w="10%"/>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単位</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2026年3月期</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2027年3月期</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2028年3月期</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税引前利益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312</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減価償却費</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52</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66</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契約負債（前受金）増減</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120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190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売上債権増減</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-75</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-95</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法人税等支払</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営業キャッシュフロー</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153</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393</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投資キャッシュフロー</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-90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-130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フリーキャッシュフロー</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-140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23</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243</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　うち借入金の純増減</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　うち増資（株式発行）</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財務キャッシュフロー</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1,480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現金及び現金同等物 期末残高</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310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1,813</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2,036</w:t>
            </w:r>
          </w:p>
        </w:tc>
      </w:tr>
    </w:tbl>
    <w:p>
      <w:pPr>
        <w:pStyle w:val="Heading1"/>
        <w:spacing w:after="80" w:before="280"/>
      </w:pPr>
      <w:r>
        <w:rPr>
          <w:rFonts w:ascii="Yu Gothic" w:cs="Yu Gothic" w:eastAsia="Yu Gothic" w:hAnsi="Yu Gothic"/>
          <w:b/>
          <w:bCs/>
        </w:rPr>
        <w:t xml:space="preserve">4. 貸借対照表（期末残高）</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資産・負債・純資産</w:t>
            </w:r>
          </w:p>
        </w:tc>
        <w:tc>
          <w:tcPr>
            <w:tcW w:type="pct" w:w="10%"/>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単位</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2026年3月期</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2027年3月期</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2028年3月期</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現金及び現金同等物</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310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1,813</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2,036</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売上債権</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210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285</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380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固定資産（有形・無形）</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428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512</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資産合計</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870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2,526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2,928</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契約負債（前受金）</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320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470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660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借入金</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130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110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未払法人税等</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22</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負債合計</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470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608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792</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資本金・資本剰余金</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1,000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2,500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2,500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利益剰余金</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-600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-582</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-364</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純資産合計</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400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1,918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2,136</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負債・純資産合計</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870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2,526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2,928</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貸借チェック（資産合計－負債・純資産合計）</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r>
    </w:tbl>
    <w:p>
      <w:pPr>
        <w:spacing w:after="60"/>
      </w:pPr>
      <w:r>
        <w:rPr>
          <w:rFonts w:ascii="Yu Gothic" w:cs="Yu Gothic" w:eastAsia="Yu Gothic" w:hAnsi="Yu Gothic"/>
          <w:b w:val="false"/>
          <w:bCs w:val="false"/>
          <w:color w:val="8A8170"/>
          <w:sz w:val="15"/>
          <w:szCs w:val="15"/>
        </w:rPr>
        <w:t xml:space="preserve">※ Excel 版では損益計画・資金計画から数式で連動し、「貸借チェック」行が 0 になることで3表の整合を確認できる。</w:t>
      </w:r>
    </w:p>
    <w:p>
      <w:pPr>
        <w:pStyle w:val="Heading2"/>
        <w:spacing w:after="60" w:before="200"/>
      </w:pPr>
      <w:r>
        <w:rPr>
          <w:rFonts w:ascii="Yu Gothic" w:cs="Yu Gothic" w:eastAsia="Yu Gothic" w:hAnsi="Yu Gothic"/>
          <w:b/>
          <w:bCs/>
        </w:rPr>
        <w:t xml:space="preserve">モデル前提（期首残高・前期実績・税率）</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tblGrid>
      <w:tr>
        <w:trPr>
          <w:tblHeader/>
        </w:trPr>
        <w:tc>
          <w:tcPr>
            <w:tcW w:type="pct" w:w="34%"/>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項目</w:t>
            </w:r>
          </w:p>
        </w:tc>
        <w:tc>
          <w:tcPr>
            <w:tcW w:type="pct" w:w="14%"/>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値</w:t>
            </w:r>
          </w:p>
        </w:tc>
        <w:tc>
          <w:tcPr>
            <w:tcW w:type="pct" w:w="52%"/>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備考</w:t>
            </w:r>
          </w:p>
        </w:tc>
      </w:tr>
      <w:tr>
        <w:tc>
          <w:tcPr>
            <w:tcW w:type="pct" w:w="34%"/>
            <w:tcMar>
              <w:top w:type="dxa" w:w="30"/>
              <w:left w:type="dxa" w:w="50"/>
              <w:bottom w:type="dxa" w:w="30"/>
              <w:right w:type="dxa" w:w="50"/>
            </w:tcMar>
          </w:tcPr>
          <w:p>
            <w:r>
              <w:rPr>
                <w:rFonts w:ascii="Yu Gothic" w:cs="Yu Gothic" w:eastAsia="Yu Gothic" w:hAnsi="Yu Gothic"/>
                <w:b w:val="false"/>
                <w:bCs w:val="false"/>
                <w:sz w:val="13"/>
                <w:szCs w:val="13"/>
              </w:rPr>
              <w:t xml:space="preserve">期首現金及び現金同等物（2025年3月期末）</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400</w:t>
            </w:r>
          </w:p>
        </w:tc>
        <w:tc>
          <w:tcPr>
            <w:tcW w:type="pct" w:w="52%"/>
            <w:tcMar>
              <w:top w:type="dxa" w:w="30"/>
              <w:left w:type="dxa" w:w="50"/>
              <w:bottom w:type="dxa" w:w="30"/>
              <w:right w:type="dxa" w:w="50"/>
            </w:tcMar>
          </w:tcPr>
          <w:p>
            <w:r>
              <w:rPr>
                <w:rFonts w:ascii="Yu Gothic" w:cs="Yu Gothic" w:eastAsia="Yu Gothic" w:hAnsi="Yu Gothic"/>
                <w:b w:val="false"/>
                <w:bCs w:val="false"/>
                <w:sz w:val="13"/>
                <w:szCs w:val="13"/>
              </w:rPr>
              <w:t xml:space="preserve">資金計画の期首残高</w:t>
            </w:r>
          </w:p>
        </w:tc>
      </w:tr>
      <w:tr>
        <w:tc>
          <w:tcPr>
            <w:tcW w:type="pct" w:w="34%"/>
            <w:tcMar>
              <w:top w:type="dxa" w:w="30"/>
              <w:left w:type="dxa" w:w="50"/>
              <w:bottom w:type="dxa" w:w="30"/>
              <w:right w:type="dxa" w:w="50"/>
            </w:tcMar>
          </w:tcPr>
          <w:p>
            <w:r>
              <w:rPr>
                <w:rFonts w:ascii="Yu Gothic" w:cs="Yu Gothic" w:eastAsia="Yu Gothic" w:hAnsi="Yu Gothic"/>
                <w:b w:val="false"/>
                <w:bCs w:val="false"/>
                <w:sz w:val="13"/>
                <w:szCs w:val="13"/>
              </w:rPr>
              <w:t xml:space="preserve">前期売上高（2025年3月期）</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857</w:t>
            </w:r>
          </w:p>
        </w:tc>
        <w:tc>
          <w:tcPr>
            <w:tcW w:type="pct" w:w="52%"/>
            <w:tcMar>
              <w:top w:type="dxa" w:w="30"/>
              <w:left w:type="dxa" w:w="50"/>
              <w:bottom w:type="dxa" w:w="30"/>
              <w:right w:type="dxa" w:w="50"/>
            </w:tcMar>
          </w:tcPr>
          <w:p>
            <w:r>
              <w:rPr>
                <w:rFonts w:ascii="Yu Gothic" w:cs="Yu Gothic" w:eastAsia="Yu Gothic" w:hAnsi="Yu Gothic"/>
                <w:b w:val="false"/>
                <w:bCs w:val="false"/>
                <w:sz w:val="13"/>
                <w:szCs w:val="13"/>
              </w:rPr>
              <w:t xml:space="preserve">Rule of 40 の成長率計算用</w:t>
            </w:r>
          </w:p>
        </w:tc>
      </w:tr>
      <w:tr>
        <w:tc>
          <w:tcPr>
            <w:tcW w:type="pct" w:w="34%"/>
            <w:tcMar>
              <w:top w:type="dxa" w:w="30"/>
              <w:left w:type="dxa" w:w="50"/>
              <w:bottom w:type="dxa" w:w="30"/>
              <w:right w:type="dxa" w:w="50"/>
            </w:tcMar>
          </w:tcPr>
          <w:p>
            <w:r>
              <w:rPr>
                <w:rFonts w:ascii="Yu Gothic" w:cs="Yu Gothic" w:eastAsia="Yu Gothic" w:hAnsi="Yu Gothic"/>
                <w:b w:val="false"/>
                <w:bCs w:val="false"/>
                <w:sz w:val="13"/>
                <w:szCs w:val="13"/>
              </w:rPr>
              <w:t xml:space="preserve">期首売上債権</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c>
          <w:tcPr>
            <w:tcW w:type="pct" w:w="52%"/>
            <w:tcMar>
              <w:top w:type="dxa" w:w="30"/>
              <w:left w:type="dxa" w:w="50"/>
              <w:bottom w:type="dxa" w:w="30"/>
              <w:right w:type="dxa" w:w="50"/>
            </w:tcMar>
          </w:tcPr>
          <w:p>
            <w:r>
              <w:rPr>
                <w:rFonts w:ascii="Yu Gothic" w:cs="Yu Gothic" w:eastAsia="Yu Gothic" w:hAnsi="Yu Gothic"/>
                <w:b w:val="false"/>
                <w:bCs w:val="false"/>
                <w:sz w:val="13"/>
                <w:szCs w:val="13"/>
              </w:rPr>
              <w:t xml:space="preserve"/>
            </w:r>
          </w:p>
        </w:tc>
      </w:tr>
      <w:tr>
        <w:tc>
          <w:tcPr>
            <w:tcW w:type="pct" w:w="34%"/>
            <w:tcMar>
              <w:top w:type="dxa" w:w="30"/>
              <w:left w:type="dxa" w:w="50"/>
              <w:bottom w:type="dxa" w:w="30"/>
              <w:right w:type="dxa" w:w="50"/>
            </w:tcMar>
          </w:tcPr>
          <w:p>
            <w:r>
              <w:rPr>
                <w:rFonts w:ascii="Yu Gothic" w:cs="Yu Gothic" w:eastAsia="Yu Gothic" w:hAnsi="Yu Gothic"/>
                <w:b w:val="false"/>
                <w:bCs w:val="false"/>
                <w:sz w:val="13"/>
                <w:szCs w:val="13"/>
              </w:rPr>
              <w:t xml:space="preserve">期首固定資産（有形・無形、簿価）</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300</w:t>
            </w:r>
          </w:p>
        </w:tc>
        <w:tc>
          <w:tcPr>
            <w:tcW w:type="pct" w:w="52%"/>
            <w:tcMar>
              <w:top w:type="dxa" w:w="30"/>
              <w:left w:type="dxa" w:w="50"/>
              <w:bottom w:type="dxa" w:w="30"/>
              <w:right w:type="dxa" w:w="50"/>
            </w:tcMar>
          </w:tcPr>
          <w:p>
            <w:r>
              <w:rPr>
                <w:rFonts w:ascii="Yu Gothic" w:cs="Yu Gothic" w:eastAsia="Yu Gothic" w:hAnsi="Yu Gothic"/>
                <w:b w:val="false"/>
                <w:bCs w:val="false"/>
                <w:sz w:val="13"/>
                <w:szCs w:val="13"/>
              </w:rPr>
              <w:t xml:space="preserve"/>
            </w:r>
          </w:p>
        </w:tc>
      </w:tr>
      <w:tr>
        <w:tc>
          <w:tcPr>
            <w:tcW w:type="pct" w:w="34%"/>
            <w:tcMar>
              <w:top w:type="dxa" w:w="30"/>
              <w:left w:type="dxa" w:w="50"/>
              <w:bottom w:type="dxa" w:w="30"/>
              <w:right w:type="dxa" w:w="50"/>
            </w:tcMar>
          </w:tcPr>
          <w:p>
            <w:r>
              <w:rPr>
                <w:rFonts w:ascii="Yu Gothic" w:cs="Yu Gothic" w:eastAsia="Yu Gothic" w:hAnsi="Yu Gothic"/>
                <w:b w:val="false"/>
                <w:bCs w:val="false"/>
                <w:sz w:val="13"/>
                <w:szCs w:val="13"/>
              </w:rPr>
              <w:t xml:space="preserve">期首契約負債（前受金）</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200</w:t>
            </w:r>
          </w:p>
        </w:tc>
        <w:tc>
          <w:tcPr>
            <w:tcW w:type="pct" w:w="52%"/>
            <w:tcMar>
              <w:top w:type="dxa" w:w="30"/>
              <w:left w:type="dxa" w:w="50"/>
              <w:bottom w:type="dxa" w:w="30"/>
              <w:right w:type="dxa" w:w="50"/>
            </w:tcMar>
          </w:tcPr>
          <w:p>
            <w:r>
              <w:rPr>
                <w:rFonts w:ascii="Yu Gothic" w:cs="Yu Gothic" w:eastAsia="Yu Gothic" w:hAnsi="Yu Gothic"/>
                <w:b w:val="false"/>
                <w:bCs w:val="false"/>
                <w:sz w:val="13"/>
                <w:szCs w:val="13"/>
              </w:rPr>
              <w:t xml:space="preserve"/>
            </w:r>
          </w:p>
        </w:tc>
      </w:tr>
      <w:tr>
        <w:tc>
          <w:tcPr>
            <w:tcW w:type="pct" w:w="34%"/>
            <w:tcMar>
              <w:top w:type="dxa" w:w="30"/>
              <w:left w:type="dxa" w:w="50"/>
              <w:bottom w:type="dxa" w:w="30"/>
              <w:right w:type="dxa" w:w="50"/>
            </w:tcMar>
          </w:tcPr>
          <w:p>
            <w:r>
              <w:rPr>
                <w:rFonts w:ascii="Yu Gothic" w:cs="Yu Gothic" w:eastAsia="Yu Gothic" w:hAnsi="Yu Gothic"/>
                <w:b w:val="false"/>
                <w:bCs w:val="false"/>
                <w:sz w:val="13"/>
                <w:szCs w:val="13"/>
              </w:rPr>
              <w:t xml:space="preserve">期首借入金</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100</w:t>
            </w:r>
          </w:p>
        </w:tc>
        <w:tc>
          <w:tcPr>
            <w:tcW w:type="pct" w:w="52%"/>
            <w:tcMar>
              <w:top w:type="dxa" w:w="30"/>
              <w:left w:type="dxa" w:w="50"/>
              <w:bottom w:type="dxa" w:w="30"/>
              <w:right w:type="dxa" w:w="50"/>
            </w:tcMar>
          </w:tcPr>
          <w:p>
            <w:r>
              <w:rPr>
                <w:rFonts w:ascii="Yu Gothic" w:cs="Yu Gothic" w:eastAsia="Yu Gothic" w:hAnsi="Yu Gothic"/>
                <w:b w:val="false"/>
                <w:bCs w:val="false"/>
                <w:sz w:val="13"/>
                <w:szCs w:val="13"/>
              </w:rPr>
              <w:t xml:space="preserve"/>
            </w:r>
          </w:p>
        </w:tc>
      </w:tr>
      <w:tr>
        <w:tc>
          <w:tcPr>
            <w:tcW w:type="pct" w:w="34%"/>
            <w:tcMar>
              <w:top w:type="dxa" w:w="30"/>
              <w:left w:type="dxa" w:w="50"/>
              <w:bottom w:type="dxa" w:w="30"/>
              <w:right w:type="dxa" w:w="50"/>
            </w:tcMar>
          </w:tcPr>
          <w:p>
            <w:r>
              <w:rPr>
                <w:rFonts w:ascii="Yu Gothic" w:cs="Yu Gothic" w:eastAsia="Yu Gothic" w:hAnsi="Yu Gothic"/>
                <w:b w:val="false"/>
                <w:bCs w:val="false"/>
                <w:sz w:val="13"/>
                <w:szCs w:val="13"/>
              </w:rPr>
              <w:t xml:space="preserve">期首未払法人税等</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c>
          <w:tcPr>
            <w:tcW w:type="pct" w:w="52%"/>
            <w:tcMar>
              <w:top w:type="dxa" w:w="30"/>
              <w:left w:type="dxa" w:w="50"/>
              <w:bottom w:type="dxa" w:w="30"/>
              <w:right w:type="dxa" w:w="50"/>
            </w:tcMar>
          </w:tcPr>
          <w:p>
            <w:r>
              <w:rPr>
                <w:rFonts w:ascii="Yu Gothic" w:cs="Yu Gothic" w:eastAsia="Yu Gothic" w:hAnsi="Yu Gothic"/>
                <w:b w:val="false"/>
                <w:bCs w:val="false"/>
                <w:sz w:val="13"/>
                <w:szCs w:val="13"/>
              </w:rPr>
              <w:t xml:space="preserve"/>
            </w:r>
          </w:p>
        </w:tc>
      </w:tr>
      <w:tr>
        <w:tc>
          <w:tcPr>
            <w:tcW w:type="pct" w:w="34%"/>
            <w:tcMar>
              <w:top w:type="dxa" w:w="30"/>
              <w:left w:type="dxa" w:w="50"/>
              <w:bottom w:type="dxa" w:w="30"/>
              <w:right w:type="dxa" w:w="50"/>
            </w:tcMar>
          </w:tcPr>
          <w:p>
            <w:r>
              <w:rPr>
                <w:rFonts w:ascii="Yu Gothic" w:cs="Yu Gothic" w:eastAsia="Yu Gothic" w:hAnsi="Yu Gothic"/>
                <w:b w:val="false"/>
                <w:bCs w:val="false"/>
                <w:sz w:val="13"/>
                <w:szCs w:val="13"/>
              </w:rPr>
              <w:t xml:space="preserve">期首資本金・資本剰余金</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1,000</w:t>
            </w:r>
          </w:p>
        </w:tc>
        <w:tc>
          <w:tcPr>
            <w:tcW w:type="pct" w:w="52%"/>
            <w:tcMar>
              <w:top w:type="dxa" w:w="30"/>
              <w:left w:type="dxa" w:w="50"/>
              <w:bottom w:type="dxa" w:w="30"/>
              <w:right w:type="dxa" w:w="50"/>
            </w:tcMar>
          </w:tcPr>
          <w:p>
            <w:r>
              <w:rPr>
                <w:rFonts w:ascii="Yu Gothic" w:cs="Yu Gothic" w:eastAsia="Yu Gothic" w:hAnsi="Yu Gothic"/>
                <w:b w:val="false"/>
                <w:bCs w:val="false"/>
                <w:sz w:val="13"/>
                <w:szCs w:val="13"/>
              </w:rPr>
              <w:t xml:space="preserve"/>
            </w:r>
          </w:p>
        </w:tc>
      </w:tr>
      <w:tr>
        <w:tc>
          <w:tcPr>
            <w:tcW w:type="pct" w:w="34%"/>
            <w:tcMar>
              <w:top w:type="dxa" w:w="30"/>
              <w:left w:type="dxa" w:w="50"/>
              <w:bottom w:type="dxa" w:w="30"/>
              <w:right w:type="dxa" w:w="50"/>
            </w:tcMar>
          </w:tcPr>
          <w:p>
            <w:r>
              <w:rPr>
                <w:rFonts w:ascii="Yu Gothic" w:cs="Yu Gothic" w:eastAsia="Yu Gothic" w:hAnsi="Yu Gothic"/>
                <w:b w:val="false"/>
                <w:bCs w:val="false"/>
                <w:sz w:val="13"/>
                <w:szCs w:val="13"/>
              </w:rPr>
              <w:t xml:space="preserve">期首利益剰余金（累積損失）</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-450</w:t>
            </w:r>
          </w:p>
        </w:tc>
        <w:tc>
          <w:tcPr>
            <w:tcW w:type="pct" w:w="52%"/>
            <w:tcMar>
              <w:top w:type="dxa" w:w="30"/>
              <w:left w:type="dxa" w:w="50"/>
              <w:bottom w:type="dxa" w:w="30"/>
              <w:right w:type="dxa" w:w="50"/>
            </w:tcMar>
          </w:tcPr>
          <w:p>
            <w:r>
              <w:rPr>
                <w:rFonts w:ascii="Yu Gothic" w:cs="Yu Gothic" w:eastAsia="Yu Gothic" w:hAnsi="Yu Gothic"/>
                <w:b w:val="false"/>
                <w:bCs w:val="false"/>
                <w:sz w:val="13"/>
                <w:szCs w:val="13"/>
              </w:rPr>
              <w:t xml:space="preserve"/>
            </w:r>
          </w:p>
        </w:tc>
      </w:tr>
      <w:tr>
        <w:tc>
          <w:tcPr>
            <w:tcW w:type="pct" w:w="34%"/>
            <w:tcMar>
              <w:top w:type="dxa" w:w="30"/>
              <w:left w:type="dxa" w:w="50"/>
              <w:bottom w:type="dxa" w:w="30"/>
              <w:right w:type="dxa" w:w="50"/>
            </w:tcMar>
          </w:tcPr>
          <w:p>
            <w:r>
              <w:rPr>
                <w:rFonts w:ascii="Yu Gothic" w:cs="Yu Gothic" w:eastAsia="Yu Gothic" w:hAnsi="Yu Gothic"/>
                <w:b w:val="false"/>
                <w:bCs w:val="false"/>
                <w:sz w:val="13"/>
                <w:szCs w:val="13"/>
              </w:rPr>
              <w:t xml:space="preserve">法人実効税率</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30%</w:t>
            </w:r>
          </w:p>
        </w:tc>
        <w:tc>
          <w:tcPr>
            <w:tcW w:type="pct" w:w="52%"/>
            <w:tcMar>
              <w:top w:type="dxa" w:w="30"/>
              <w:left w:type="dxa" w:w="50"/>
              <w:bottom w:type="dxa" w:w="30"/>
              <w:right w:type="dxa" w:w="50"/>
            </w:tcMar>
          </w:tcPr>
          <w:p>
            <w:r>
              <w:rPr>
                <w:rFonts w:ascii="Yu Gothic" w:cs="Yu Gothic" w:eastAsia="Yu Gothic" w:hAnsi="Yu Gothic"/>
                <w:b w:val="false"/>
                <w:bCs w:val="false"/>
                <w:sz w:val="13"/>
                <w:szCs w:val="13"/>
              </w:rPr>
              <w:t xml:space="preserve">法人税等の行は本前提で試算した入力値（繰越欠損金の控除は未反映）</w:t>
            </w:r>
          </w:p>
        </w:tc>
      </w:tr>
    </w:tbl>
    <w:p>
      <w:pPr>
        <w:pStyle w:val="Heading1"/>
        <w:spacing w:after="80" w:before="280"/>
      </w:pPr>
      <w:r>
        <w:rPr>
          <w:rFonts w:ascii="Yu Gothic" w:cs="Yu Gothic" w:eastAsia="Yu Gothic" w:hAnsi="Yu Gothic"/>
          <w:b/>
          <w:bCs/>
        </w:rPr>
        <w:t xml:space="preserve">5. KPI設計</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20%"/>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KPI</w:t>
            </w:r>
          </w:p>
        </w:tc>
        <w:tc>
          <w:tcPr>
            <w:tcW w:type="pct" w:w="40%"/>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定義</w:t>
            </w:r>
          </w:p>
        </w:tc>
        <w:tc>
          <w:tcPr>
            <w:tcW w:type="pct" w:w="13%"/>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2026年3月期</w:t>
            </w:r>
          </w:p>
        </w:tc>
        <w:tc>
          <w:tcPr>
            <w:tcW w:type="pct" w:w="13%"/>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2027年3月期</w:t>
            </w:r>
          </w:p>
        </w:tc>
        <w:tc>
          <w:tcPr>
            <w:tcW w:type="pct" w:w="13%"/>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2028年3月期</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ARR（年間経常収益）</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期末MRR×12。経常的なサブスク収益の年換算。</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1,150</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1,620</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2,200</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NRR（売上継続率）</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既存顧客の前年同期比収益維持率（アップセル含む、解約除く）</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108%</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113%</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118%</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グロスチャーン（金額ベース・年率。月次0.8%×12≒当期8%）</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解約による収益喪失率</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7%</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CAC回収期間</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顧客獲得コスト÷（新規顧客の月間粗利）</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18か月</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15か月</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12か月</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LTV/CAC</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顧客生涯価値÷顧客獲得コスト</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2.8x</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3.3x</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4.0x</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Rule of 40</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売上成長率(%)＋営業利益率(%)</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28%</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42%</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51%</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売上総利益率</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売上総利益÷売上高</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78%</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80%</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82%</w:t>
            </w:r>
          </w:p>
        </w:tc>
      </w:tr>
    </w:tbl>
    <w:p>
      <w:pPr>
        <w:pStyle w:val="Heading1"/>
        <w:spacing w:after="80" w:before="280"/>
      </w:pPr>
      <w:r>
        <w:rPr>
          <w:rFonts w:ascii="Yu Gothic" w:cs="Yu Gothic" w:eastAsia="Yu Gothic" w:hAnsi="Yu Gothic"/>
          <w:b/>
          <w:bCs/>
        </w:rPr>
        <w:t xml:space="preserve">6. 投資評価（NPV/IRR）</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投資</w:t>
            </w:r>
          </w:p>
        </w:tc>
        <w:tc>
          <w:tcPr>
            <w:tcW w:type="pct" w:w="14%"/>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投資額</w:t>
            </w:r>
          </w:p>
        </w:tc>
        <w:tc>
          <w:tcPr>
            <w:tcW w:type="pct" w:w="14%"/>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NPV</w:t>
            </w:r>
          </w:p>
        </w:tc>
        <w:tc>
          <w:tcPr>
            <w:tcW w:type="pct" w:w="12%"/>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IRR</w:t>
            </w:r>
          </w:p>
        </w:tc>
        <w:tc>
          <w:tcPr>
            <w:tcW w:type="pct" w:w="14%"/>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回収</w:t>
            </w:r>
          </w:p>
        </w:tc>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判断</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新規顧客獲得（S&amp;M）投資拡大</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3年累計 約2,017百万円</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+780百万円</w:t>
            </w:r>
          </w:p>
        </w:tc>
        <w:tc>
          <w:tcPr>
            <w:tcW w:type="pct" w:w="12%"/>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32%</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約3.3年</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実行</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プロダクト基盤・AI機能R&amp;D</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3年累計 約1,286百万円</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+420百万円</w:t>
            </w:r>
          </w:p>
        </w:tc>
        <w:tc>
          <w:tcPr>
            <w:tcW w:type="pct" w:w="12%"/>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28%</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約3.4年</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段階実行</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セキュリティ・全般統制（ITGC）強化</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3年累計 約180百万円</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定量評価困難（リスク低減）</w:t>
            </w:r>
          </w:p>
        </w:tc>
        <w:tc>
          <w:tcPr>
            <w:tcW w:type="pct" w:w="12%"/>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N/A</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N/A</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必須実行</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カスタマーサクセス（CS）基盤投資</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3年累計 約240百万円</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+310百万円</w:t>
            </w:r>
          </w:p>
        </w:tc>
        <w:tc>
          <w:tcPr>
            <w:tcW w:type="pct" w:w="12%"/>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77%</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約2.2年</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実行</w:t>
            </w:r>
          </w:p>
        </w:tc>
      </w:tr>
    </w:tbl>
    <w:p>
      <w:pPr>
        <w:pStyle w:val="Heading1"/>
        <w:spacing w:after="80" w:before="280"/>
      </w:pPr>
      <w:r>
        <w:rPr>
          <w:rFonts w:ascii="Yu Gothic" w:cs="Yu Gothic" w:eastAsia="Yu Gothic" w:hAnsi="Yu Gothic"/>
          <w:b/>
          <w:bCs/>
        </w:rPr>
        <w:t xml:space="preserve">7. 予算編成・予実管理の設計</w:t>
      </w:r>
    </w:p>
    <w:p>
      <w:pPr>
        <w:pStyle w:val="Heading3"/>
        <w:spacing w:after="40" w:before="160"/>
      </w:pPr>
      <w:r>
        <w:rPr>
          <w:rFonts w:ascii="Yu Gothic" w:cs="Yu Gothic" w:eastAsia="Yu Gothic" w:hAnsi="Yu Gothic"/>
          <w:b/>
          <w:bCs/>
        </w:rPr>
        <w:t xml:space="preserve">BC-01　サブスク収益の自動按分統制（収益認識）</w:t>
      </w:r>
    </w:p>
    <w:p>
      <w:pPr>
        <w:spacing w:after="60"/>
      </w:pPr>
      <w:r>
        <w:rPr>
          <w:rFonts w:ascii="Yu Gothic" w:cs="Yu Gothic" w:eastAsia="Yu Gothic" w:hAnsi="Yu Gothic"/>
          <w:b w:val="false"/>
          <w:bCs w:val="false"/>
          <w:sz w:val="18"/>
          <w:szCs w:val="18"/>
        </w:rPr>
        <w:t xml:space="preserve">設計・運用：契約条件（アクセス権=期間認識/使用権=一時点）を契約マスタで判別し、月次で前受→収益への按分を自動計上。複合契約は独立販売価格で配分するロジックを実装。</w:t>
      </w:r>
    </w:p>
    <w:p>
      <w:pPr>
        <w:spacing w:after="60"/>
      </w:pPr>
      <w:r>
        <w:rPr>
          <w:rFonts w:ascii="Yu Gothic" w:cs="Yu Gothic" w:eastAsia="Yu Gothic" w:hAnsi="Yu Gothic"/>
          <w:b w:val="false"/>
          <w:bCs w:val="false"/>
          <w:color w:val="8A8170"/>
          <w:sz w:val="16"/>
          <w:szCs w:val="16"/>
        </w:rPr>
        <w:t xml:space="preserve">留意：業務処理統制。月次で会計士レビュー、按分残高（契約負債）の整合確認。</w:t>
      </w:r>
    </w:p>
    <w:p>
      <w:pPr>
        <w:pStyle w:val="Heading3"/>
        <w:spacing w:after="40" w:before="160"/>
      </w:pPr>
      <w:r>
        <w:rPr>
          <w:rFonts w:ascii="Yu Gothic" w:cs="Yu Gothic" w:eastAsia="Yu Gothic" w:hAnsi="Yu Gothic"/>
          <w:b/>
          <w:bCs/>
        </w:rPr>
        <w:t xml:space="preserve">BC-02　四半期ローリング予算（予算編成）</w:t>
      </w:r>
    </w:p>
    <w:p>
      <w:pPr>
        <w:spacing w:after="60"/>
      </w:pPr>
      <w:r>
        <w:rPr>
          <w:rFonts w:ascii="Yu Gothic" w:cs="Yu Gothic" w:eastAsia="Yu Gothic" w:hAnsi="Yu Gothic"/>
          <w:b w:val="false"/>
          <w:bCs w:val="false"/>
          <w:sz w:val="18"/>
          <w:szCs w:val="18"/>
        </w:rPr>
        <w:t xml:space="preserve">設計・運用：ARR・新規受注・チャーンを前提にトップダウン目標とボトムアップ積上げを突合。人員計画と費用を連動させ四半期ごとに見直し。</w:t>
      </w:r>
    </w:p>
    <w:p>
      <w:pPr>
        <w:spacing w:after="60"/>
      </w:pPr>
      <w:r>
        <w:rPr>
          <w:rFonts w:ascii="Yu Gothic" w:cs="Yu Gothic" w:eastAsia="Yu Gothic" w:hAnsi="Yu Gothic"/>
          <w:b w:val="false"/>
          <w:bCs w:val="false"/>
          <w:color w:val="8A8170"/>
          <w:sz w:val="16"/>
          <w:szCs w:val="16"/>
        </w:rPr>
        <w:t xml:space="preserve">留意：前提（成長率・チャーン）を明示し、シナリオ（ベース/上振れ/下振れ）を併設。</w:t>
      </w:r>
    </w:p>
    <w:p>
      <w:pPr>
        <w:pStyle w:val="Heading3"/>
        <w:spacing w:after="40" w:before="160"/>
      </w:pPr>
      <w:r>
        <w:rPr>
          <w:rFonts w:ascii="Yu Gothic" w:cs="Yu Gothic" w:eastAsia="Yu Gothic" w:hAnsi="Yu Gothic"/>
          <w:b/>
          <w:bCs/>
        </w:rPr>
        <w:t xml:space="preserve">BC-03　KPI・予実差異分析（予実管理）</w:t>
      </w:r>
    </w:p>
    <w:p>
      <w:pPr>
        <w:spacing w:after="60"/>
      </w:pPr>
      <w:r>
        <w:rPr>
          <w:rFonts w:ascii="Yu Gothic" w:cs="Yu Gothic" w:eastAsia="Yu Gothic" w:hAnsi="Yu Gothic"/>
          <w:b w:val="false"/>
          <w:bCs w:val="false"/>
          <w:sz w:val="18"/>
          <w:szCs w:val="18"/>
        </w:rPr>
        <w:t xml:space="preserve">設計・運用：ARR/NRR/CAC/チャーンを月次ダッシュボードで予実比較。差異5%超は要因分析と是正アクションを起票。</w:t>
      </w:r>
    </w:p>
    <w:p>
      <w:pPr>
        <w:spacing w:after="60"/>
      </w:pPr>
      <w:r>
        <w:rPr>
          <w:rFonts w:ascii="Yu Gothic" w:cs="Yu Gothic" w:eastAsia="Yu Gothic" w:hAnsi="Yu Gothic"/>
          <w:b w:val="false"/>
          <w:bCs w:val="false"/>
          <w:color w:val="8A8170"/>
          <w:sz w:val="16"/>
          <w:szCs w:val="16"/>
        </w:rPr>
        <w:t xml:space="preserve">留意：S&amp;M投資効率（LTV/CAC）が閾値割れ時は獲得投資を自動的に抑制。</w:t>
      </w:r>
    </w:p>
    <w:p>
      <w:pPr>
        <w:pStyle w:val="Heading3"/>
        <w:spacing w:after="40" w:before="160"/>
      </w:pPr>
      <w:r>
        <w:rPr>
          <w:rFonts w:ascii="Yu Gothic" w:cs="Yu Gothic" w:eastAsia="Yu Gothic" w:hAnsi="Yu Gothic"/>
          <w:b/>
          <w:bCs/>
        </w:rPr>
        <w:t xml:space="preserve">BC-04　アクセス権・本番変更管理（IT全般統制）</w:t>
      </w:r>
    </w:p>
    <w:p>
      <w:pPr>
        <w:spacing w:after="60"/>
      </w:pPr>
      <w:r>
        <w:rPr>
          <w:rFonts w:ascii="Yu Gothic" w:cs="Yu Gothic" w:eastAsia="Yu Gothic" w:hAnsi="Yu Gothic"/>
          <w:b w:val="false"/>
          <w:bCs w:val="false"/>
          <w:sz w:val="18"/>
          <w:szCs w:val="18"/>
        </w:rPr>
        <w:t xml:space="preserve">設計・運用：本番環境への変更は申請・承認・テスト・リリースのゲートを通過。職務分掌に基づくロール別権限を四半期ごとにレビュー。</w:t>
      </w:r>
    </w:p>
    <w:p>
      <w:pPr>
        <w:spacing w:after="60"/>
      </w:pPr>
      <w:r>
        <w:rPr>
          <w:rFonts w:ascii="Yu Gothic" w:cs="Yu Gothic" w:eastAsia="Yu Gothic" w:hAnsi="Yu Gothic"/>
          <w:b w:val="false"/>
          <w:bCs w:val="false"/>
          <w:color w:val="8A8170"/>
          <w:sz w:val="16"/>
          <w:szCs w:val="16"/>
        </w:rPr>
        <w:t xml:space="preserve">留意：最重要統制。監査ログを保管し、権限濫用・改ざんを牽制。</w:t>
      </w:r>
    </w:p>
    <w:p>
      <w:pPr>
        <w:pStyle w:val="Heading3"/>
        <w:spacing w:after="40" w:before="160"/>
      </w:pPr>
      <w:r>
        <w:rPr>
          <w:rFonts w:ascii="Yu Gothic" w:cs="Yu Gothic" w:eastAsia="Yu Gothic" w:hAnsi="Yu Gothic"/>
          <w:b/>
          <w:bCs/>
        </w:rPr>
        <w:t xml:space="preserve">BC-05　引当金・回収可能性評価（見積り）</w:t>
      </w:r>
    </w:p>
    <w:p>
      <w:pPr>
        <w:spacing w:after="60"/>
      </w:pPr>
      <w:r>
        <w:rPr>
          <w:rFonts w:ascii="Yu Gothic" w:cs="Yu Gothic" w:eastAsia="Yu Gothic" w:hAnsi="Yu Gothic"/>
          <w:b w:val="false"/>
          <w:bCs w:val="false"/>
          <w:sz w:val="18"/>
          <w:szCs w:val="18"/>
        </w:rPr>
        <w:t xml:space="preserve">設計・運用：返品・割戻等は変動対価として返金負債を計上（期待値法または最頻値法で見積り、変動対価の見積りの制限を考慮）。売上債権は回収可能性を区分評価し貸倒引当を設定。</w:t>
      </w:r>
    </w:p>
    <w:p>
      <w:pPr>
        <w:spacing w:after="60"/>
      </w:pPr>
      <w:r>
        <w:rPr>
          <w:rFonts w:ascii="Yu Gothic" w:cs="Yu Gothic" w:eastAsia="Yu Gothic" w:hAnsi="Yu Gothic"/>
          <w:b w:val="false"/>
          <w:bCs w:val="false"/>
          <w:color w:val="8A8170"/>
          <w:sz w:val="16"/>
          <w:szCs w:val="16"/>
        </w:rPr>
        <w:t xml:space="preserve">留意：繰延税金資産の回収可能性は将来課税所得計画と整合させ慎重判断。</w:t>
      </w:r>
    </w:p>
    <w:p>
      <w:pPr>
        <w:pStyle w:val="Heading3"/>
        <w:spacing w:after="40" w:before="160"/>
      </w:pPr>
      <w:r>
        <w:rPr>
          <w:rFonts w:ascii="Yu Gothic" w:cs="Yu Gothic" w:eastAsia="Yu Gothic" w:hAnsi="Yu Gothic"/>
          <w:b/>
          <w:bCs/>
        </w:rPr>
        <w:t xml:space="preserve">BC-06　キャッシュランウェイ監視（資金管理）</w:t>
      </w:r>
    </w:p>
    <w:p>
      <w:pPr>
        <w:spacing w:after="60"/>
      </w:pPr>
      <w:r>
        <w:rPr>
          <w:rFonts w:ascii="Yu Gothic" w:cs="Yu Gothic" w:eastAsia="Yu Gothic" w:hAnsi="Yu Gothic"/>
          <w:b w:val="false"/>
          <w:bCs w:val="false"/>
          <w:sz w:val="18"/>
          <w:szCs w:val="18"/>
        </w:rPr>
        <w:t xml:space="preserve">設計・運用：調達資金とFCFを基にランウェイ（手元資金÷月次バーン）を月次監視。18か月未満で警戒、12か月未満で投資抑制トリガー。</w:t>
      </w:r>
    </w:p>
    <w:p>
      <w:pPr>
        <w:spacing w:after="60"/>
      </w:pPr>
      <w:r>
        <w:rPr>
          <w:rFonts w:ascii="Yu Gothic" w:cs="Yu Gothic" w:eastAsia="Yu Gothic" w:hAnsi="Yu Gothic"/>
          <w:b w:val="false"/>
          <w:bCs w:val="false"/>
          <w:color w:val="8A8170"/>
          <w:sz w:val="16"/>
          <w:szCs w:val="16"/>
        </w:rPr>
        <w:t xml:space="preserve">留意：期間収益と現金入金のズレ（前受/売掛）を考慮した実質バーンで管理。</w:t>
      </w:r>
    </w:p>
    <w:p>
      <w:pPr>
        <w:pStyle w:val="Heading3"/>
        <w:spacing w:after="40" w:before="160"/>
      </w:pPr>
      <w:r>
        <w:rPr>
          <w:rFonts w:ascii="Yu Gothic" w:cs="Yu Gothic" w:eastAsia="Yu Gothic" w:hAnsi="Yu Gothic"/>
          <w:b/>
          <w:bCs/>
        </w:rPr>
        <w:t xml:space="preserve">BC-07　業績予想修正基準への接続（業績予想・適時開示）</w:t>
      </w:r>
    </w:p>
    <w:p>
      <w:pPr>
        <w:spacing w:after="60"/>
      </w:pPr>
      <w:r>
        <w:rPr>
          <w:rFonts w:ascii="Yu Gothic" w:cs="Yu Gothic" w:eastAsia="Yu Gothic" w:hAnsi="Yu Gothic"/>
          <w:b w:val="false"/>
          <w:bCs w:val="false"/>
          <w:sz w:val="18"/>
          <w:szCs w:val="18"/>
        </w:rPr>
        <w:t xml:space="preserve">設計・運用：月次の予実差異分析（BC-03）の結果を、適時開示の業績予想修正基準（売上高±10%・営業利益/経常利益/純利益±30%）に照らして毎月判定し、閾値到達の見込みが立った時点で取締役会へ報告・修正開示の要否を決議する。予実比較表（予算／実績／差異／達成率）を取締役会資料の定型とし、通期見通しの見直し（ローリング予測）と同じ数字で開示する。</w:t>
      </w:r>
    </w:p>
    <w:p>
      <w:pPr>
        <w:spacing w:after="60"/>
      </w:pPr>
      <w:r>
        <w:rPr>
          <w:rFonts w:ascii="Yu Gothic" w:cs="Yu Gothic" w:eastAsia="Yu Gothic" w:hAnsi="Yu Gothic"/>
          <w:b w:val="false"/>
          <w:bCs w:val="false"/>
          <w:color w:val="8A8170"/>
          <w:sz w:val="16"/>
          <w:szCs w:val="16"/>
        </w:rPr>
        <w:t xml:space="preserve">留意：上場審査では『予算統制と業績予想の管理体制』が確認される。予算と開示予想の乖離を月次で説明できる体制にしておく。</w:t>
      </w:r>
    </w:p>
    <w:p>
      <w:pPr>
        <w:pStyle w:val="Heading1"/>
        <w:spacing w:after="80" w:before="280"/>
      </w:pPr>
      <w:r>
        <w:rPr>
          <w:rFonts w:ascii="Yu Gothic" w:cs="Yu Gothic" w:eastAsia="Yu Gothic" w:hAnsi="Yu Gothic"/>
          <w:b/>
          <w:bCs/>
        </w:rPr>
        <w:t xml:space="preserve">8. 総合所見</w:t>
      </w:r>
    </w:p>
    <w:p>
      <w:pPr>
        <w:spacing w:after="60"/>
      </w:pPr>
      <w:r>
        <w:rPr>
          <w:rFonts w:ascii="Yu Gothic" w:cs="Yu Gothic" w:eastAsia="Yu Gothic" w:hAnsi="Yu Gothic"/>
          <w:b w:val="false"/>
          <w:bCs w:val="false"/>
          <w:sz w:val="20"/>
          <w:szCs w:val="20"/>
        </w:rPr>
        <w:t xml:space="preserve">本中計は、ARR積み上げとNRR改善を軸に2027年3月期の黒字転換とRule of 40達成（42%、2028年3月期は51%）、2028年3月期の営業利益率14%を見込む。SaaS特有の前受金効果により営業CFは損益に先行して改善し、シリーズC調達と合わせ十分なランウェイを確保する。投資はLTV/CAC3.0x以上をガードレールにCS・S&amp;Mを優先配分し、ユニットエコノミクスの健全性を担保。会計上は収益認識（アクセス権の期間認識・複合契約の独立販売価格配分）とITGC（アクセス権・本番変更管理）が統制の要であり、繰延税金資産の回収可能性と変動対価の見積りについては会計士レビューでの精査が必要。本ドラフトは前提感応度が高く、四半期ローリングでの更新を前提とする。</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サンプルSaaS株式会社 事業計画パッケージ</dc:title>
  <dc:creator>BENTO — 会計士 × AI</dc:creator>
  <cp:lastModifiedBy>Un-named</cp:lastModifiedBy>
  <cp:revision>1</cp:revision>
  <dcterms:created xsi:type="dcterms:W3CDTF">2026-09-12T01:16:59.929Z</dcterms:created>
  <dcterms:modified xsi:type="dcterms:W3CDTF">2026-09-12T01:16:59.929Z</dcterms:modified>
</cp:coreProperties>
</file>

<file path=docProps/custom.xml><?xml version="1.0" encoding="utf-8"?>
<Properties xmlns="http://schemas.openxmlformats.org/officeDocument/2006/custom-properties" xmlns:vt="http://schemas.openxmlformats.org/officeDocument/2006/docPropsVTypes"/>
</file>