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28"/>
          <w:szCs w:val="28"/>
        </w:rPr>
        <w:t xml:space="preserve">プロジェクト・カワサキ（テスト精密工業 事業承継型M&amp;A）</w:t>
      </w:r>
    </w:p>
    <w:p>
      <w:pPr>
        <w:spacing w:after="20"/>
        <w:jc w:val="center"/>
      </w:pPr>
      <w:r>
        <w:rPr>
          <w:rFonts w:ascii="Yu Gothic" w:cs="Yu Gothic" w:eastAsia="Yu Gothic" w:hAnsi="Yu Gothic"/>
          <w:sz w:val="20"/>
          <w:szCs w:val="20"/>
        </w:rPr>
        <w:t xml:space="preserve">テスト精密工業株式会社　／　株式譲渡（100%取得、事業承継型M&amp;A、セルサイド支援）</w:t>
      </w:r>
    </w:p>
    <w:p>
      <w:pPr>
        <w:spacing w:after="160"/>
        <w:jc w:val="center"/>
      </w:pPr>
      <w:r>
        <w:rPr>
          <w:rFonts w:ascii="Yu Gothic" w:cs="Yu Gothic" w:eastAsia="Yu Gothic" w:hAnsi="Yu Gothic"/>
          <w:color w:val="8A8170"/>
          <w:sz w:val="15"/>
          <w:szCs w:val="15"/>
        </w:rPr>
        <w:t xml:space="preserve">M&amp;A DD・SPAパッケージ（AI生成ドラフト・専門家レビュー前提）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spacing w:after="160"/>
      </w:pPr>
    </w:p>
    <w:p>
      <w:pPr>
        <w:pStyle w:val="Heading2"/>
        <w:spacing w:after="90" w:before="240"/>
      </w:pPr>
      <w:r>
        <w:rPr>
          <w:rFonts w:ascii="Yu Gothic" w:cs="Yu Gothic" w:eastAsia="Yu Gothic" w:hAnsi="Yu Gothic"/>
          <w:b/>
          <w:bCs/>
        </w:rPr>
        <w:t xml:space="preserve">1. 案件の概要</w:t>
      </w:r>
    </w:p>
    <w:p>
      <w:pPr>
        <w:spacing w:after="60"/>
      </w:pPr>
      <w:r>
        <w:rPr>
          <w:rFonts w:ascii="Yu Gothic" w:cs="Yu Gothic" w:eastAsia="Yu Gothic" w:hAnsi="Yu Gothic"/>
          <w:b w:val="false"/>
          <w:bCs w:val="false"/>
          <w:sz w:val="20"/>
          <w:szCs w:val="20"/>
        </w:rPr>
        <w:t xml:space="preserve">目的：後継者不在のオーナー保有株式100%を第三者へ譲渡するにあたり、売り手（オーナー社長）の利益最大化・確実な成約・表明保証/補償負担の最小化を目的とした売却前デューデリジェンス（磨き上げ）およびバリュエーション・SPA骨子の策定。</w:t>
      </w:r>
    </w:p>
    <w:p>
      <w:pPr>
        <w:spacing w:after="60"/>
      </w:pPr>
      <w:r>
        <w:rPr>
          <w:rFonts w:ascii="Yu Gothic" w:cs="Yu Gothic" w:eastAsia="Yu Gothic" w:hAnsi="Yu Gothic"/>
          <w:b w:val="false"/>
          <w:bCs w:val="false"/>
          <w:sz w:val="20"/>
          <w:szCs w:val="20"/>
        </w:rPr>
        <w:t xml:space="preserve">DD範囲：財務・税務・法務・労務・ビジネス・ITの各分野。FY2023-FY2025の3期を対象とし、正常収益力(QoE)、運転資本、ネットデット、簿外債務・偶発債務の洗い出しを重点実施。</w:t>
      </w:r>
    </w:p>
    <w:p>
      <w:pPr>
        <w:spacing w:after="60"/>
      </w:pPr>
      <w:r>
        <w:rPr>
          <w:rFonts w:ascii="Yu Gothic" w:cs="Yu Gothic" w:eastAsia="Yu Gothic" w:hAnsi="Yu Gothic"/>
          <w:b w:val="false"/>
          <w:bCs w:val="false"/>
          <w:sz w:val="20"/>
          <w:szCs w:val="20"/>
        </w:rPr>
        <w:t xml:space="preserve">ストラクチャ：100%株式譲渡。オーナー個人所有の本社工場敷地(現在賃借)の取扱いを別途整理。ロックアップ/短期顧問契約によるキーマン移行を想定。</w:t>
      </w:r>
    </w:p>
    <w:p>
      <w:pPr>
        <w:spacing w:after="60"/>
      </w:pPr>
      <w:r>
        <w:rPr>
          <w:rFonts w:ascii="Yu Gothic" w:cs="Yu Gothic" w:eastAsia="Yu Gothic" w:hAnsi="Yu Gothic"/>
          <w:b w:val="false"/>
          <w:bCs w:val="false"/>
          <w:sz w:val="20"/>
          <w:szCs w:val="20"/>
        </w:rPr>
        <w:t xml:space="preserve">基準日：2026年3月31日（FY2026期末）想定。直近実績はFY2025（2025年3月期）。</w:t>
      </w:r>
    </w:p>
    <w:p>
      <w:pPr>
        <w:spacing w:after="60"/>
      </w:pPr>
      <w:r>
        <w:rPr>
          <w:rFonts w:ascii="Yu Gothic" w:cs="Yu Gothic" w:eastAsia="Yu Gothic" w:hAnsi="Yu Gothic"/>
          <w:b w:val="false"/>
          <w:bCs w:val="false"/>
          <w:sz w:val="20"/>
          <w:szCs w:val="20"/>
        </w:rPr>
        <w:t xml:space="preserve">体制：公認会計士(財務・税務)、弁護士(法務)、社会保険労務士(労務)、FAS(バリュエーション・SPA)。会計士レビュー前提のドラフト。</w:t>
      </w:r>
    </w:p>
    <w:p>
      <w:pPr>
        <w:pStyle w:val="Heading2"/>
        <w:spacing w:after="90" w:before="240"/>
      </w:pPr>
      <w:r>
        <w:rPr>
          <w:rFonts w:ascii="Yu Gothic" w:cs="Yu Gothic" w:eastAsia="Yu Gothic" w:hAnsi="Yu Gothic"/>
          <w:b/>
          <w:bCs/>
        </w:rPr>
        <w:t xml:space="preserve">2. DD 検出事項</w:t>
      </w:r>
    </w:p>
    <w:p>
      <w:pPr>
        <w:pStyle w:val="Heading3"/>
        <w:spacing w:after="50" w:before="180"/>
      </w:pPr>
      <w:r>
        <w:rPr>
          <w:rFonts w:ascii="Yu Gothic" w:cs="Yu Gothic" w:eastAsia="Yu Gothic" w:hAnsi="Yu Gothic"/>
          <w:b/>
          <w:bCs/>
        </w:rPr>
        <w:t xml:space="preserve">F-01　[労務] 固定残業制の運用不備による残業代未払いリスク（重要度高・補償・30百万円）</w:t>
      </w:r>
    </w:p>
    <w:p>
      <w:pPr>
        <w:spacing w:after="60"/>
      </w:pPr>
      <w:r>
        <w:rPr>
          <w:rFonts w:ascii="Yu Gothic" w:cs="Yu Gothic" w:eastAsia="Yu Gothic" w:hAnsi="Yu Gothic"/>
          <w:b w:val="false"/>
          <w:bCs w:val="false"/>
          <w:sz w:val="18"/>
          <w:szCs w:val="18"/>
        </w:rPr>
        <w:t xml:space="preserve">検出事実：固定残業制を採用しているが、固定残業時間・金額の明示、実残業との差額精算、就業規則・雇用契約書への記載に不備があり、超過分の残業代が一部未払いの可能性がある。従業員45名、平均年齢48歳。</w:t>
      </w:r>
    </w:p>
    <w:p>
      <w:pPr>
        <w:spacing w:after="60"/>
      </w:pPr>
      <w:r>
        <w:rPr>
          <w:rFonts w:ascii="Yu Gothic" w:cs="Yu Gothic" w:eastAsia="Yu Gothic" w:hAnsi="Yu Gothic"/>
          <w:b w:val="false"/>
          <w:bCs w:val="false"/>
          <w:sz w:val="18"/>
          <w:szCs w:val="18"/>
        </w:rPr>
        <w:t xml:space="preserve">リスク・論点：過去2-3年(消滅時効3年)に遡及した未払残業代・付加金・遅延損害金の請求リスク。労基署是正勧告、退職者からの集団請求の可能性。買い手DDで確実に検出され、価格交渉・補償要求の材料となる。</w:t>
      </w:r>
    </w:p>
    <w:p>
      <w:pPr>
        <w:spacing w:after="60"/>
      </w:pPr>
      <w:r>
        <w:rPr>
          <w:rFonts w:ascii="Yu Gothic" w:cs="Yu Gothic" w:eastAsia="Yu Gothic" w:hAnsi="Yu Gothic"/>
          <w:b w:val="false"/>
          <w:bCs w:val="false"/>
          <w:sz w:val="18"/>
          <w:szCs w:val="18"/>
        </w:rPr>
        <w:t xml:space="preserve">価格への反映：簿外債務として株式価値から控除。試算未払額+付加金・社会保険料の追加負担で20-40百万円程度のマイナス影響を想定。</w:t>
      </w:r>
    </w:p>
    <w:p>
      <w:pPr>
        <w:spacing w:after="60"/>
      </w:pPr>
      <w:r>
        <w:rPr>
          <w:rFonts w:ascii="Yu Gothic" w:cs="Yu Gothic" w:eastAsia="Yu Gothic" w:hAnsi="Yu Gothic"/>
          <w:b w:val="false"/>
          <w:bCs w:val="false"/>
          <w:color w:val="8A8170"/>
          <w:sz w:val="16"/>
          <w:szCs w:val="16"/>
        </w:rPr>
        <w:t xml:space="preserve">対応SPA条項：補償条項(特別補償)/表明保証(労務・法令遵守)</w:t>
      </w:r>
    </w:p>
    <w:p>
      <w:pPr>
        <w:spacing w:after="60"/>
      </w:pPr>
      <w:r>
        <w:rPr>
          <w:rFonts w:ascii="Yu Gothic" w:cs="Yu Gothic" w:eastAsia="Yu Gothic" w:hAnsi="Yu Gothic"/>
          <w:b w:val="false"/>
          <w:bCs w:val="false"/>
          <w:color w:val="2E6E64"/>
          <w:sz w:val="18"/>
          <w:szCs w:val="18"/>
        </w:rPr>
        <w:t xml:space="preserve">売り手の事前対処（磨き上げ）：売却前に社労士による未払残業代の実額試算を行い、就業規則・雇用契約書・固定残業手当の明示を是正。可能な範囲で遡及精算・和解により債務を消し込み、残額はDisclosure Scheduleで具体開示して表明保証違反から除外(免責)。是正済みの事実を証跡化して買い手の減額根拠を封じる。</w:t>
      </w:r>
    </w:p>
    <w:p>
      <w:pPr>
        <w:pStyle w:val="Heading3"/>
        <w:spacing w:after="50" w:before="180"/>
      </w:pPr>
      <w:r>
        <w:rPr>
          <w:rFonts w:ascii="Yu Gothic" w:cs="Yu Gothic" w:eastAsia="Yu Gothic" w:hAnsi="Yu Gothic"/>
          <w:b/>
          <w:bCs/>
        </w:rPr>
        <w:t xml:space="preserve">F-02　[財務] 退職給付引当金の未計上（簿外債務）（重要度高・価格調整・60百万円）</w:t>
      </w:r>
    </w:p>
    <w:p>
      <w:pPr>
        <w:spacing w:after="60"/>
      </w:pPr>
      <w:r>
        <w:rPr>
          <w:rFonts w:ascii="Yu Gothic" w:cs="Yu Gothic" w:eastAsia="Yu Gothic" w:hAnsi="Yu Gothic"/>
          <w:b w:val="false"/>
          <w:bCs w:val="false"/>
          <w:sz w:val="18"/>
          <w:szCs w:val="18"/>
        </w:rPr>
        <w:t xml:space="preserve">検出事実：退職金制度が存在するが退職給付引当金が未計上。簡便法試算で約60百万円の要計上額が見込まれる。</w:t>
      </w:r>
    </w:p>
    <w:p>
      <w:pPr>
        <w:spacing w:after="60"/>
      </w:pPr>
      <w:r>
        <w:rPr>
          <w:rFonts w:ascii="Yu Gothic" w:cs="Yu Gothic" w:eastAsia="Yu Gothic" w:hAnsi="Yu Gothic"/>
          <w:b w:val="false"/>
          <w:bCs w:val="false"/>
          <w:sz w:val="18"/>
          <w:szCs w:val="18"/>
        </w:rPr>
        <w:t xml:space="preserve">リスク・論点：簿外債務としてネットデット・株式価値算定に直接影響。買い手は必ず控除項目として扱う。</w:t>
      </w:r>
    </w:p>
    <w:p>
      <w:pPr>
        <w:spacing w:after="60"/>
      </w:pPr>
      <w:r>
        <w:rPr>
          <w:rFonts w:ascii="Yu Gothic" w:cs="Yu Gothic" w:eastAsia="Yu Gothic" w:hAnsi="Yu Gothic"/>
          <w:b w:val="false"/>
          <w:bCs w:val="false"/>
          <w:sz w:val="18"/>
          <w:szCs w:val="18"/>
        </w:rPr>
        <w:t xml:space="preserve">価格への反映：デット類似項目として株式価値から約60百万円控除。</w:t>
      </w:r>
    </w:p>
    <w:p>
      <w:pPr>
        <w:spacing w:after="60"/>
      </w:pPr>
      <w:r>
        <w:rPr>
          <w:rFonts w:ascii="Yu Gothic" w:cs="Yu Gothic" w:eastAsia="Yu Gothic" w:hAnsi="Yu Gothic"/>
          <w:b w:val="false"/>
          <w:bCs w:val="false"/>
          <w:color w:val="8A8170"/>
          <w:sz w:val="16"/>
          <w:szCs w:val="16"/>
        </w:rPr>
        <w:t xml:space="preserve">対応SPA条項：価格調整(ネットデット定義)/表明保証(財務諸表の正確性)</w:t>
      </w:r>
    </w:p>
    <w:p>
      <w:pPr>
        <w:spacing w:after="60"/>
      </w:pPr>
      <w:r>
        <w:rPr>
          <w:rFonts w:ascii="Yu Gothic" w:cs="Yu Gothic" w:eastAsia="Yu Gothic" w:hAnsi="Yu Gothic"/>
          <w:b w:val="false"/>
          <w:bCs w:val="false"/>
          <w:color w:val="2E6E64"/>
          <w:sz w:val="18"/>
          <w:szCs w:val="18"/>
        </w:rPr>
        <w:t xml:space="preserve">売り手の事前対処（磨き上げ）：売却前に簡便法による正確な要支給額を算定し、退職金規程・支給実績を資料化。DA/DR定義交渉で「簿外債務」ではなく既知の織込み済み調整として提示し、二重控除(価格調整と補償の重複)を防止。制度内容をDisclosure Scheduleで開示し表明保証を限定。</w:t>
      </w:r>
    </w:p>
    <w:p>
      <w:pPr>
        <w:pStyle w:val="Heading3"/>
        <w:spacing w:after="50" w:before="180"/>
      </w:pPr>
      <w:r>
        <w:rPr>
          <w:rFonts w:ascii="Yu Gothic" w:cs="Yu Gothic" w:eastAsia="Yu Gothic" w:hAnsi="Yu Gothic"/>
          <w:b/>
          <w:bCs/>
        </w:rPr>
        <w:t xml:space="preserve">F-03　[ビジネス] 主要顧客A社への売上集中（42%）（重要度高・表明保証）</w:t>
      </w:r>
    </w:p>
    <w:p>
      <w:pPr>
        <w:spacing w:after="60"/>
      </w:pPr>
      <w:r>
        <w:rPr>
          <w:rFonts w:ascii="Yu Gothic" w:cs="Yu Gothic" w:eastAsia="Yu Gothic" w:hAnsi="Yu Gothic"/>
          <w:b w:val="false"/>
          <w:bCs w:val="false"/>
          <w:sz w:val="18"/>
          <w:szCs w:val="18"/>
        </w:rPr>
        <w:t xml:space="preserve">検出事実：大手自動車部品メーカーA社への売上依存度が42%と高い。取引基本契約の更新条項・解約条項の確認が必要。</w:t>
      </w:r>
    </w:p>
    <w:p>
      <w:pPr>
        <w:spacing w:after="60"/>
      </w:pPr>
      <w:r>
        <w:rPr>
          <w:rFonts w:ascii="Yu Gothic" w:cs="Yu Gothic" w:eastAsia="Yu Gothic" w:hAnsi="Yu Gothic"/>
          <w:b w:val="false"/>
          <w:bCs w:val="false"/>
          <w:sz w:val="18"/>
          <w:szCs w:val="18"/>
        </w:rPr>
        <w:t xml:space="preserve">リスク・論点：A社の発注減・取引解消・単価引下げ(コストダウン要請)により収益が大きく変動。EV化に伴う内燃機関部品の需要縮小リスク。買い手は継続性リスクとしてマルチプル低下・アーンアウト要求の材料とする。</w:t>
      </w:r>
    </w:p>
    <w:p>
      <w:pPr>
        <w:spacing w:after="60"/>
      </w:pPr>
      <w:r>
        <w:rPr>
          <w:rFonts w:ascii="Yu Gothic" w:cs="Yu Gothic" w:eastAsia="Yu Gothic" w:hAnsi="Yu Gothic"/>
          <w:b w:val="false"/>
          <w:bCs w:val="false"/>
          <w:sz w:val="18"/>
          <w:szCs w:val="18"/>
        </w:rPr>
        <w:t xml:space="preserve">価格への反映：EBITDAマルチプルの割引要因。チェンジオブコントロール条項があれば成約前提条件(CP)にも影響。</w:t>
      </w:r>
    </w:p>
    <w:p>
      <w:pPr>
        <w:spacing w:after="60"/>
      </w:pPr>
      <w:r>
        <w:rPr>
          <w:rFonts w:ascii="Yu Gothic" w:cs="Yu Gothic" w:eastAsia="Yu Gothic" w:hAnsi="Yu Gothic"/>
          <w:b w:val="false"/>
          <w:bCs w:val="false"/>
          <w:color w:val="8A8170"/>
          <w:sz w:val="16"/>
          <w:szCs w:val="16"/>
        </w:rPr>
        <w:t xml:space="preserve">対応SPA条項：表明保証(重要契約・顧客)/前提条件(CP)/アーンアウト検討</w:t>
      </w:r>
    </w:p>
    <w:p>
      <w:pPr>
        <w:spacing w:after="60"/>
      </w:pPr>
      <w:r>
        <w:rPr>
          <w:rFonts w:ascii="Yu Gothic" w:cs="Yu Gothic" w:eastAsia="Yu Gothic" w:hAnsi="Yu Gothic"/>
          <w:b w:val="false"/>
          <w:bCs w:val="false"/>
          <w:color w:val="2E6E64"/>
          <w:sz w:val="18"/>
          <w:szCs w:val="18"/>
        </w:rPr>
        <w:t xml:space="preserve">売り手の事前対処（磨き上げ）：A社との取引基本契約を精査しチェンジオブコントロール条項の有無を確認。可能なら事前に(秘匿を保ちつつ)取引継続の感触・発注見通しを整理し、医療機器向け等の分散状況・受注残・複数年内示を資料化して依存リスクを相対化。長期的な取引実績・技術的代替困難性(スイッチングコスト)を強みとして言語化しバリュエーションで主張。</w:t>
      </w:r>
    </w:p>
    <w:p>
      <w:pPr>
        <w:pStyle w:val="Heading3"/>
        <w:spacing w:after="50" w:before="180"/>
      </w:pPr>
      <w:r>
        <w:rPr>
          <w:rFonts w:ascii="Yu Gothic" w:cs="Yu Gothic" w:eastAsia="Yu Gothic" w:hAnsi="Yu Gothic"/>
          <w:b/>
          <w:bCs/>
        </w:rPr>
        <w:t xml:space="preserve">F-04　[税務] オーナー私的経費のEBITDA正常化（役員保険・社用車等）（重要度中・価格調整・12百万円）</w:t>
      </w:r>
    </w:p>
    <w:p>
      <w:pPr>
        <w:spacing w:after="60"/>
      </w:pPr>
      <w:r>
        <w:rPr>
          <w:rFonts w:ascii="Yu Gothic" w:cs="Yu Gothic" w:eastAsia="Yu Gothic" w:hAnsi="Yu Gothic"/>
          <w:b w:val="false"/>
          <w:bCs w:val="false"/>
          <w:sz w:val="18"/>
          <w:szCs w:val="18"/>
        </w:rPr>
        <w:t xml:space="preserve">検出事実：オーナー個人に帰属する私的経費(役員保険・社用車等)が年約12百万円計上されている。</w:t>
      </w:r>
    </w:p>
    <w:p>
      <w:pPr>
        <w:spacing w:after="60"/>
      </w:pPr>
      <w:r>
        <w:rPr>
          <w:rFonts w:ascii="Yu Gothic" w:cs="Yu Gothic" w:eastAsia="Yu Gothic" w:hAnsi="Yu Gothic"/>
          <w:b w:val="false"/>
          <w:bCs w:val="false"/>
          <w:sz w:val="18"/>
          <w:szCs w:val="18"/>
        </w:rPr>
        <w:t xml:space="preserve">リスク・論点：買い手基準の正常収益力(QoE)ではこれらは非事業経費として加算調整対象。逆に税務上は損金性が問われる項目もあり、否認リスクの確認が必要。</w:t>
      </w:r>
    </w:p>
    <w:p>
      <w:pPr>
        <w:spacing w:after="60"/>
      </w:pPr>
      <w:r>
        <w:rPr>
          <w:rFonts w:ascii="Yu Gothic" w:cs="Yu Gothic" w:eastAsia="Yu Gothic" w:hAnsi="Yu Gothic"/>
          <w:b w:val="false"/>
          <w:bCs w:val="false"/>
          <w:sz w:val="18"/>
          <w:szCs w:val="18"/>
        </w:rPr>
        <w:t xml:space="preserve">価格への反映：EBITDA正常化(アドバック)で年約12百万円の上乗せ→企業価値でマルチプル倍分の増加(プラス影響)。</w:t>
      </w:r>
    </w:p>
    <w:p>
      <w:pPr>
        <w:spacing w:after="60"/>
      </w:pPr>
      <w:r>
        <w:rPr>
          <w:rFonts w:ascii="Yu Gothic" w:cs="Yu Gothic" w:eastAsia="Yu Gothic" w:hAnsi="Yu Gothic"/>
          <w:b w:val="false"/>
          <w:bCs w:val="false"/>
          <w:color w:val="8A8170"/>
          <w:sz w:val="16"/>
          <w:szCs w:val="16"/>
        </w:rPr>
        <w:t xml:space="preserve">対応SPA条項：価格調整(QoE正常化)/表明保証(税務)</w:t>
      </w:r>
    </w:p>
    <w:p>
      <w:pPr>
        <w:spacing w:after="60"/>
      </w:pPr>
      <w:r>
        <w:rPr>
          <w:rFonts w:ascii="Yu Gothic" w:cs="Yu Gothic" w:eastAsia="Yu Gothic" w:hAnsi="Yu Gothic"/>
          <w:b w:val="false"/>
          <w:bCs w:val="false"/>
          <w:color w:val="2E6E64"/>
          <w:sz w:val="18"/>
          <w:szCs w:val="18"/>
        </w:rPr>
        <w:t xml:space="preserve">売り手の事前対処（磨き上げ）：私的経費の内訳を明細化し、事業非関連であることを客観資料(保険証券、車両使用実態)で立証してQoEアドバックの根拠を整備。売却を機に一部整理し「クリーンなPL」を提示。税務否認リスクのある項目は事前に税理士確認しDisclosure Scheduleで開示。</w:t>
      </w:r>
    </w:p>
    <w:p>
      <w:pPr>
        <w:pStyle w:val="Heading3"/>
        <w:spacing w:after="50" w:before="180"/>
      </w:pPr>
      <w:r>
        <w:rPr>
          <w:rFonts w:ascii="Yu Gothic" w:cs="Yu Gothic" w:eastAsia="Yu Gothic" w:hAnsi="Yu Gothic"/>
          <w:b/>
          <w:bCs/>
        </w:rPr>
        <w:t xml:space="preserve">F-05　[法務] オーナー個人所有地を本社工場敷地として低廉賃借（重要度高・ディールブレーカー）</w:t>
      </w:r>
    </w:p>
    <w:p>
      <w:pPr>
        <w:spacing w:after="60"/>
      </w:pPr>
      <w:r>
        <w:rPr>
          <w:rFonts w:ascii="Yu Gothic" w:cs="Yu Gothic" w:eastAsia="Yu Gothic" w:hAnsi="Yu Gothic"/>
          <w:b w:val="false"/>
          <w:bCs w:val="false"/>
          <w:sz w:val="18"/>
          <w:szCs w:val="18"/>
        </w:rPr>
        <w:t xml:space="preserve">検出事実：本社工場は自社建物だが、敷地はオーナー社長個人が所有し会社が賃借。地代が相場より低い。</w:t>
      </w:r>
    </w:p>
    <w:p>
      <w:pPr>
        <w:spacing w:after="60"/>
      </w:pPr>
      <w:r>
        <w:rPr>
          <w:rFonts w:ascii="Yu Gothic" w:cs="Yu Gothic" w:eastAsia="Yu Gothic" w:hAnsi="Yu Gothic"/>
          <w:b w:val="false"/>
          <w:bCs w:val="false"/>
          <w:sz w:val="18"/>
          <w:szCs w:val="18"/>
        </w:rPr>
        <w:t xml:space="preserve">リスク・論点：関連当事者取引。低廉地代により利益が過大表示(正常化で地代増→利益減)。譲渡後にオーナーが土地を第三者売却/地代改定すると事業継続に支障。買い手は土地の同時取得か長期賃貸借の確保を要求。</w:t>
      </w:r>
    </w:p>
    <w:p>
      <w:pPr>
        <w:spacing w:after="60"/>
      </w:pPr>
      <w:r>
        <w:rPr>
          <w:rFonts w:ascii="Yu Gothic" w:cs="Yu Gothic" w:eastAsia="Yu Gothic" w:hAnsi="Yu Gothic"/>
          <w:b w:val="false"/>
          <w:bCs w:val="false"/>
          <w:sz w:val="18"/>
          <w:szCs w:val="18"/>
        </w:rPr>
        <w:t xml:space="preserve">価格への反映：地代を相場水準に正常化するとEBITDAが減少(マイナス)。一方、事業継続の根幹でありCP・成約可否に直結。</w:t>
      </w:r>
    </w:p>
    <w:p>
      <w:pPr>
        <w:spacing w:after="60"/>
      </w:pPr>
      <w:r>
        <w:rPr>
          <w:rFonts w:ascii="Yu Gothic" w:cs="Yu Gothic" w:eastAsia="Yu Gothic" w:hAnsi="Yu Gothic"/>
          <w:b w:val="false"/>
          <w:bCs w:val="false"/>
          <w:color w:val="8A8170"/>
          <w:sz w:val="16"/>
          <w:szCs w:val="16"/>
        </w:rPr>
        <w:t xml:space="preserve">対応SPA条項：前提条件(CP)/表明保証(関連当事者取引・資産)/誓約</w:t>
      </w:r>
    </w:p>
    <w:p>
      <w:pPr>
        <w:spacing w:after="60"/>
      </w:pPr>
      <w:r>
        <w:rPr>
          <w:rFonts w:ascii="Yu Gothic" w:cs="Yu Gothic" w:eastAsia="Yu Gothic" w:hAnsi="Yu Gothic"/>
          <w:b w:val="false"/>
          <w:bCs w:val="false"/>
          <w:color w:val="2E6E64"/>
          <w:sz w:val="18"/>
          <w:szCs w:val="18"/>
        </w:rPr>
        <w:t xml:space="preserve">売り手の事前対処（磨き上げ）：売却前に(a)土地を会社or買い手が取得、(b)相場地代での長期賃貸借契約(定期借地/普通賃貸借+更新保証)の締結、のいずれかで敷地確保を確定させる。関連当事者取引を正常条件へ是正し契約書を整備。地代正常化後の収益影響を自らモデル化し交渉の主導権を握る。</w:t>
      </w:r>
    </w:p>
    <w:p>
      <w:pPr>
        <w:pStyle w:val="Heading3"/>
        <w:spacing w:after="50" w:before="180"/>
      </w:pPr>
      <w:r>
        <w:rPr>
          <w:rFonts w:ascii="Yu Gothic" w:cs="Yu Gothic" w:eastAsia="Yu Gothic" w:hAnsi="Yu Gothic"/>
          <w:b/>
          <w:bCs/>
        </w:rPr>
        <w:t xml:space="preserve">F-06　[財務] 棚卸資産の評価（標準原価差異・滞留・技術陳腐化）（重要度中・価格調整）</w:t>
      </w:r>
    </w:p>
    <w:p>
      <w:pPr>
        <w:spacing w:after="60"/>
      </w:pPr>
      <w:r>
        <w:rPr>
          <w:rFonts w:ascii="Yu Gothic" w:cs="Yu Gothic" w:eastAsia="Yu Gothic" w:hAnsi="Yu Gothic"/>
          <w:b w:val="false"/>
          <w:bCs w:val="false"/>
          <w:sz w:val="18"/>
          <w:szCs w:val="18"/>
        </w:rPr>
        <w:t xml:space="preserve">検出事実：標準/予定原価計算で評価し期末実績調整。仕掛品・完成品の工程間振替、滞留在庫・技術陳腐化品の評価減の妥当性が論点。</w:t>
      </w:r>
    </w:p>
    <w:p>
      <w:pPr>
        <w:spacing w:after="60"/>
      </w:pPr>
      <w:r>
        <w:rPr>
          <w:rFonts w:ascii="Yu Gothic" w:cs="Yu Gothic" w:eastAsia="Yu Gothic" w:hAnsi="Yu Gothic"/>
          <w:b w:val="false"/>
          <w:bCs w:val="false"/>
          <w:sz w:val="18"/>
          <w:szCs w:val="18"/>
        </w:rPr>
        <w:t xml:space="preserve">リスク・論点：原価差異の未調整、滞留・陳腐化在庫の評価減不足による棚卸資産の過大計上。QoE・運転資本の水準に影響。</w:t>
      </w:r>
    </w:p>
    <w:p>
      <w:pPr>
        <w:spacing w:after="60"/>
      </w:pPr>
      <w:r>
        <w:rPr>
          <w:rFonts w:ascii="Yu Gothic" w:cs="Yu Gothic" w:eastAsia="Yu Gothic" w:hAnsi="Yu Gothic"/>
          <w:b w:val="false"/>
          <w:bCs w:val="false"/>
          <w:sz w:val="18"/>
          <w:szCs w:val="18"/>
        </w:rPr>
        <w:t xml:space="preserve">価格への反映：評価減不足があれば純資産・運転資本の下方修正。運転資本の基準額(ターゲットWC)設定に影響。</w:t>
      </w:r>
    </w:p>
    <w:p>
      <w:pPr>
        <w:spacing w:after="60"/>
      </w:pPr>
      <w:r>
        <w:rPr>
          <w:rFonts w:ascii="Yu Gothic" w:cs="Yu Gothic" w:eastAsia="Yu Gothic" w:hAnsi="Yu Gothic"/>
          <w:b w:val="false"/>
          <w:bCs w:val="false"/>
          <w:color w:val="8A8170"/>
          <w:sz w:val="16"/>
          <w:szCs w:val="16"/>
        </w:rPr>
        <w:t xml:space="preserve">対応SPA条項：価格調整(運転資本調整)/表明保証(棚卸資産の評価)</w:t>
      </w:r>
    </w:p>
    <w:p>
      <w:pPr>
        <w:spacing w:after="60"/>
      </w:pPr>
      <w:r>
        <w:rPr>
          <w:rFonts w:ascii="Yu Gothic" w:cs="Yu Gothic" w:eastAsia="Yu Gothic" w:hAnsi="Yu Gothic"/>
          <w:b w:val="false"/>
          <w:bCs w:val="false"/>
          <w:color w:val="2E6E64"/>
          <w:sz w:val="18"/>
          <w:szCs w:val="18"/>
        </w:rPr>
        <w:t xml:space="preserve">売り手の事前対処（磨き上げ）：売却前に実地棚卸を実施し原価差異を精算、滞留・陳腐化品の評価減を適正計上して在庫の質をクリーン化。在庫回転率・滞留分析表を整備し、正常運転資本レンジの根拠資料を先出しして買い手の恣意的なWCターゲット引下げを防止。</w:t>
      </w:r>
    </w:p>
    <w:p>
      <w:pPr>
        <w:pStyle w:val="Heading3"/>
        <w:spacing w:after="50" w:before="180"/>
      </w:pPr>
      <w:r>
        <w:rPr>
          <w:rFonts w:ascii="Yu Gothic" w:cs="Yu Gothic" w:eastAsia="Yu Gothic" w:hAnsi="Yu Gothic"/>
          <w:b/>
          <w:bCs/>
        </w:rPr>
        <w:t xml:space="preserve">F-07　[財務] 製品保証引当金・リコール/求償リスク（重要度中・補償）</w:t>
      </w:r>
    </w:p>
    <w:p>
      <w:pPr>
        <w:spacing w:after="60"/>
      </w:pPr>
      <w:r>
        <w:rPr>
          <w:rFonts w:ascii="Yu Gothic" w:cs="Yu Gothic" w:eastAsia="Yu Gothic" w:hAnsi="Yu Gothic"/>
          <w:b w:val="false"/>
          <w:bCs w:val="false"/>
          <w:sz w:val="18"/>
          <w:szCs w:val="18"/>
        </w:rPr>
        <w:t xml:space="preserve">検出事実：自動車・医療機器向け精密部品を供給。製品保証引当金(販売×予想クレーム率)の計上状況とリコール・求償リスクの評価が必要。</w:t>
      </w:r>
    </w:p>
    <w:p>
      <w:pPr>
        <w:spacing w:after="60"/>
      </w:pPr>
      <w:r>
        <w:rPr>
          <w:rFonts w:ascii="Yu Gothic" w:cs="Yu Gothic" w:eastAsia="Yu Gothic" w:hAnsi="Yu Gothic"/>
          <w:b w:val="false"/>
          <w:bCs w:val="false"/>
          <w:sz w:val="18"/>
          <w:szCs w:val="18"/>
        </w:rPr>
        <w:t xml:space="preserve">リスク・論点：品質不具合に起因するリコール・損害賠償・取引先からの求償(自動車部品のサプライチェーン責任)。簿外の偶発債務となり得る。</w:t>
      </w:r>
    </w:p>
    <w:p>
      <w:pPr>
        <w:spacing w:after="60"/>
      </w:pPr>
      <w:r>
        <w:rPr>
          <w:rFonts w:ascii="Yu Gothic" w:cs="Yu Gothic" w:eastAsia="Yu Gothic" w:hAnsi="Yu Gothic"/>
          <w:b w:val="false"/>
          <w:bCs w:val="false"/>
          <w:sz w:val="18"/>
          <w:szCs w:val="18"/>
        </w:rPr>
        <w:t xml:space="preserve">価格への反映：引当不足や過去クレーム履歴があれば特別補償・エスクローの要求要因。</w:t>
      </w:r>
    </w:p>
    <w:p>
      <w:pPr>
        <w:spacing w:after="60"/>
      </w:pPr>
      <w:r>
        <w:rPr>
          <w:rFonts w:ascii="Yu Gothic" w:cs="Yu Gothic" w:eastAsia="Yu Gothic" w:hAnsi="Yu Gothic"/>
          <w:b w:val="false"/>
          <w:bCs w:val="false"/>
          <w:color w:val="8A8170"/>
          <w:sz w:val="16"/>
          <w:szCs w:val="16"/>
        </w:rPr>
        <w:t xml:space="preserve">対応SPA条項：表明保証(製品品質・PL責任)/特別補償/エスクロー</w:t>
      </w:r>
    </w:p>
    <w:p>
      <w:pPr>
        <w:spacing w:after="60"/>
      </w:pPr>
      <w:r>
        <w:rPr>
          <w:rFonts w:ascii="Yu Gothic" w:cs="Yu Gothic" w:eastAsia="Yu Gothic" w:hAnsi="Yu Gothic"/>
          <w:b w:val="false"/>
          <w:bCs w:val="false"/>
          <w:color w:val="2E6E64"/>
          <w:sz w:val="18"/>
          <w:szCs w:val="18"/>
        </w:rPr>
        <w:t xml:space="preserve">売り手の事前対処（磨き上げ）：過去のクレーム・不良率・リコール履歴を整理し、ISO9001の品質記録・トレーサビリティ資料を整備。保証引当の算定根拠を明確化。既知の潜在クレームはDisclosure Scheduleで開示し表明保証の対象から除外して補償リスクを限定。</w:t>
      </w:r>
    </w:p>
    <w:p>
      <w:pPr>
        <w:pStyle w:val="Heading3"/>
        <w:spacing w:after="50" w:before="180"/>
      </w:pPr>
      <w:r>
        <w:rPr>
          <w:rFonts w:ascii="Yu Gothic" w:cs="Yu Gothic" w:eastAsia="Yu Gothic" w:hAnsi="Yu Gothic"/>
          <w:b/>
          <w:bCs/>
        </w:rPr>
        <w:t xml:space="preserve">F-08　[ビジネス] キーマン(オーナー社長75歳)依存と後継者不在（重要度高・PMI課題）</w:t>
      </w:r>
    </w:p>
    <w:p>
      <w:pPr>
        <w:spacing w:after="60"/>
      </w:pPr>
      <w:r>
        <w:rPr>
          <w:rFonts w:ascii="Yu Gothic" w:cs="Yu Gothic" w:eastAsia="Yu Gothic" w:hAnsi="Yu Gothic"/>
          <w:b w:val="false"/>
          <w:bCs w:val="false"/>
          <w:sz w:val="18"/>
          <w:szCs w:val="18"/>
        </w:rPr>
        <w:t xml:space="preserve">検出事実：オーナー社長(75歳)が株式100%保有かつ経営・技術・顧客関係の中核。後継者不在。</w:t>
      </w:r>
    </w:p>
    <w:p>
      <w:pPr>
        <w:spacing w:after="60"/>
      </w:pPr>
      <w:r>
        <w:rPr>
          <w:rFonts w:ascii="Yu Gothic" w:cs="Yu Gothic" w:eastAsia="Yu Gothic" w:hAnsi="Yu Gothic"/>
          <w:b w:val="false"/>
          <w:bCs w:val="false"/>
          <w:sz w:val="18"/>
          <w:szCs w:val="18"/>
        </w:rPr>
        <w:t xml:space="preserve">リスク・論点：社長退任による顧客・技術・従業員の流出リスク。譲渡後の事業継続性が最大の懸念。</w:t>
      </w:r>
    </w:p>
    <w:p>
      <w:pPr>
        <w:spacing w:after="60"/>
      </w:pPr>
      <w:r>
        <w:rPr>
          <w:rFonts w:ascii="Yu Gothic" w:cs="Yu Gothic" w:eastAsia="Yu Gothic" w:hAnsi="Yu Gothic"/>
          <w:b w:val="false"/>
          <w:bCs w:val="false"/>
          <w:sz w:val="18"/>
          <w:szCs w:val="18"/>
        </w:rPr>
        <w:t xml:space="preserve">価格への反映：引継ぎ体制次第でバリュエーション・アーンアウト設計に影響。</w:t>
      </w:r>
    </w:p>
    <w:p>
      <w:pPr>
        <w:spacing w:after="60"/>
      </w:pPr>
      <w:r>
        <w:rPr>
          <w:rFonts w:ascii="Yu Gothic" w:cs="Yu Gothic" w:eastAsia="Yu Gothic" w:hAnsi="Yu Gothic"/>
          <w:b w:val="false"/>
          <w:bCs w:val="false"/>
          <w:color w:val="8A8170"/>
          <w:sz w:val="16"/>
          <w:szCs w:val="16"/>
        </w:rPr>
        <w:t xml:space="preserve">対応SPA条項：誓約(引継ぎ・競業避止)/顧問契約/アーンアウト</w:t>
      </w:r>
    </w:p>
    <w:p>
      <w:pPr>
        <w:spacing w:after="60"/>
      </w:pPr>
      <w:r>
        <w:rPr>
          <w:rFonts w:ascii="Yu Gothic" w:cs="Yu Gothic" w:eastAsia="Yu Gothic" w:hAnsi="Yu Gothic"/>
          <w:b w:val="false"/>
          <w:bCs w:val="false"/>
          <w:color w:val="2E6E64"/>
          <w:sz w:val="18"/>
          <w:szCs w:val="18"/>
        </w:rPr>
        <w:t xml:space="preserve">売り手の事前対処（磨き上げ）：売却前に業務・技術・顧客対応の属人ノウハウを文書化(マニュアル・引継ぎ計画)。No.2/工場長など幹部への権限移譲を進め組織的運営体制を整備。譲渡後の一定期間(6-12ヶ月)の顧問就任・段階的移行を提案し、キーマンリスクを緩和して価格維持。競業避止は合理的範囲(期間・地域)に限定し売り手負担を抑制。</w:t>
      </w:r>
    </w:p>
    <w:p>
      <w:pPr>
        <w:pStyle w:val="Heading3"/>
        <w:spacing w:after="50" w:before="180"/>
      </w:pPr>
      <w:r>
        <w:rPr>
          <w:rFonts w:ascii="Yu Gothic" w:cs="Yu Gothic" w:eastAsia="Yu Gothic" w:hAnsi="Yu Gothic"/>
          <w:b/>
          <w:bCs/>
        </w:rPr>
        <w:t xml:space="preserve">F-09　[労務] 第二工場の賃借契約・従業員の秘匿管理（重要度中・前提条件(CP)）</w:t>
      </w:r>
    </w:p>
    <w:p>
      <w:pPr>
        <w:spacing w:after="60"/>
      </w:pPr>
      <w:r>
        <w:rPr>
          <w:rFonts w:ascii="Yu Gothic" w:cs="Yu Gothic" w:eastAsia="Yu Gothic" w:hAnsi="Yu Gothic"/>
          <w:b w:val="false"/>
          <w:bCs w:val="false"/>
          <w:sz w:val="18"/>
          <w:szCs w:val="18"/>
        </w:rPr>
        <w:t xml:space="preserve">検出事実：第二工場は賃借。売却は従業員・取引先に秘匿で進める方針。</w:t>
      </w:r>
    </w:p>
    <w:p>
      <w:pPr>
        <w:spacing w:after="60"/>
      </w:pPr>
      <w:r>
        <w:rPr>
          <w:rFonts w:ascii="Yu Gothic" w:cs="Yu Gothic" w:eastAsia="Yu Gothic" w:hAnsi="Yu Gothic"/>
          <w:b w:val="false"/>
          <w:bCs w:val="false"/>
          <w:sz w:val="18"/>
          <w:szCs w:val="18"/>
        </w:rPr>
        <w:t xml:space="preserve">リスク・論点：賃貸借契約のチェンジオブコントロール条項による解約・更新拒絶リスク。情報漏洩による従業員動揺・キーマン離職・取引先の警戒。</w:t>
      </w:r>
    </w:p>
    <w:p>
      <w:pPr>
        <w:spacing w:after="60"/>
      </w:pPr>
      <w:r>
        <w:rPr>
          <w:rFonts w:ascii="Yu Gothic" w:cs="Yu Gothic" w:eastAsia="Yu Gothic" w:hAnsi="Yu Gothic"/>
          <w:b w:val="false"/>
          <w:bCs w:val="false"/>
          <w:sz w:val="18"/>
          <w:szCs w:val="18"/>
        </w:rPr>
        <w:t xml:space="preserve">価格への反映：工場賃貸借の継続確保はCP。情報管理失敗は成約リスク。</w:t>
      </w:r>
    </w:p>
    <w:p>
      <w:pPr>
        <w:spacing w:after="60"/>
      </w:pPr>
      <w:r>
        <w:rPr>
          <w:rFonts w:ascii="Yu Gothic" w:cs="Yu Gothic" w:eastAsia="Yu Gothic" w:hAnsi="Yu Gothic"/>
          <w:b w:val="false"/>
          <w:bCs w:val="false"/>
          <w:color w:val="8A8170"/>
          <w:sz w:val="16"/>
          <w:szCs w:val="16"/>
        </w:rPr>
        <w:t xml:space="preserve">対応SPA条項：前提条件(CP)/誓約(秘密保持)/表明保証(重要契約)</w:t>
      </w:r>
    </w:p>
    <w:p>
      <w:pPr>
        <w:spacing w:after="60"/>
      </w:pPr>
      <w:r>
        <w:rPr>
          <w:rFonts w:ascii="Yu Gothic" w:cs="Yu Gothic" w:eastAsia="Yu Gothic" w:hAnsi="Yu Gothic"/>
          <w:b w:val="false"/>
          <w:bCs w:val="false"/>
          <w:color w:val="2E6E64"/>
          <w:sz w:val="18"/>
          <w:szCs w:val="18"/>
        </w:rPr>
        <w:t xml:space="preserve">売り手の事前対処（磨き上げ）：第二工場賃貸借契約のCOC条項・残存期間を確認し、必要なら事前に(理由を伏せて)更新・継続の見通しを確保。売却検討はコードネーム化・NDA徹底・アクセス制限で秘匿管理。開示タイミングと対象者を段階設計し、キーマンには適切な時期にリテンション策(残留賞与等)を提示。</w:t>
      </w:r>
    </w:p>
    <w:p>
      <w:pPr>
        <w:pStyle w:val="Heading3"/>
        <w:spacing w:after="50" w:before="180"/>
      </w:pPr>
      <w:r>
        <w:rPr>
          <w:rFonts w:ascii="Yu Gothic" w:cs="Yu Gothic" w:eastAsia="Yu Gothic" w:hAnsi="Yu Gothic"/>
          <w:b/>
          <w:bCs/>
        </w:rPr>
        <w:t xml:space="preserve">F-10　[税務] 固定資産の税務・グリーン税制/減損の確認（重要度低・表明保証）</w:t>
      </w:r>
    </w:p>
    <w:p>
      <w:pPr>
        <w:spacing w:after="60"/>
      </w:pPr>
      <w:r>
        <w:rPr>
          <w:rFonts w:ascii="Yu Gothic" w:cs="Yu Gothic" w:eastAsia="Yu Gothic" w:hAnsi="Yu Gothic"/>
          <w:b w:val="false"/>
          <w:bCs w:val="false"/>
          <w:sz w:val="18"/>
          <w:szCs w:val="18"/>
        </w:rPr>
        <w:t xml:space="preserve">検出事実：直近3年で5軸加工機等に2.5億円を設備投資。固定資産管理台帳と実物の照合、税制優遇(グリーン税制等)適用の妥当性、減損兆候の確認が必要。</w:t>
      </w:r>
    </w:p>
    <w:p>
      <w:pPr>
        <w:spacing w:after="60"/>
      </w:pPr>
      <w:r>
        <w:rPr>
          <w:rFonts w:ascii="Yu Gothic" w:cs="Yu Gothic" w:eastAsia="Yu Gothic" w:hAnsi="Yu Gothic"/>
          <w:b w:val="false"/>
          <w:bCs w:val="false"/>
          <w:sz w:val="18"/>
          <w:szCs w:val="18"/>
        </w:rPr>
        <w:t xml:space="preserve">リスク・論点：台帳と実物の不一致、優遇税制の適用誤り、稼働率低下設備の減損兆候。</w:t>
      </w:r>
    </w:p>
    <w:p>
      <w:pPr>
        <w:spacing w:after="60"/>
      </w:pPr>
      <w:r>
        <w:rPr>
          <w:rFonts w:ascii="Yu Gothic" w:cs="Yu Gothic" w:eastAsia="Yu Gothic" w:hAnsi="Yu Gothic"/>
          <w:b w:val="false"/>
          <w:bCs w:val="false"/>
          <w:sz w:val="18"/>
          <w:szCs w:val="18"/>
        </w:rPr>
        <w:t xml:space="preserve">価格への反映：減損計上不足があれば純資産下方修正。新鋭設備は強みとしてプラス評価要因。</w:t>
      </w:r>
    </w:p>
    <w:p>
      <w:pPr>
        <w:spacing w:after="60"/>
      </w:pPr>
      <w:r>
        <w:rPr>
          <w:rFonts w:ascii="Yu Gothic" w:cs="Yu Gothic" w:eastAsia="Yu Gothic" w:hAnsi="Yu Gothic"/>
          <w:b w:val="false"/>
          <w:bCs w:val="false"/>
          <w:color w:val="8A8170"/>
          <w:sz w:val="16"/>
          <w:szCs w:val="16"/>
        </w:rPr>
        <w:t xml:space="preserve">対応SPA条項：表明保証(固定資産・税務)</w:t>
      </w:r>
    </w:p>
    <w:p>
      <w:pPr>
        <w:spacing w:after="60"/>
      </w:pPr>
      <w:r>
        <w:rPr>
          <w:rFonts w:ascii="Yu Gothic" w:cs="Yu Gothic" w:eastAsia="Yu Gothic" w:hAnsi="Yu Gothic"/>
          <w:b w:val="false"/>
          <w:bCs w:val="false"/>
          <w:color w:val="2E6E64"/>
          <w:sz w:val="18"/>
          <w:szCs w:val="18"/>
        </w:rPr>
        <w:t xml:space="preserve">売り手の事前対処（磨き上げ）：固定資産台帳と実物の照合を実施し所有権・担保設定状況を整理。設備投資の税制適用根拠を保存。新鋭設備(5軸加工機)の稼働率・生産能力を定量化し、更新投資負担が小さいことを設備競争力として言語化・アピール。減損兆候の有無を事前確認しDisclosure Scheduleへ反映。</w:t>
      </w:r>
    </w:p>
    <w:p>
      <w:pPr>
        <w:pStyle w:val="Heading2"/>
        <w:spacing w:after="90" w:before="240"/>
      </w:pPr>
      <w:r>
        <w:rPr>
          <w:rFonts w:ascii="Yu Gothic" w:cs="Yu Gothic" w:eastAsia="Yu Gothic" w:hAnsi="Yu Gothic"/>
          <w:b/>
          <w:bCs/>
        </w:rPr>
        <w:t xml:space="preserve">3. バリュエーション</w:t>
      </w:r>
    </w:p>
    <w:p>
      <w:pPr>
        <w:spacing w:after="60"/>
      </w:pPr>
      <w:r>
        <w:rPr>
          <w:rFonts w:ascii="Yu Gothic" w:cs="Yu Gothic" w:eastAsia="Yu Gothic" w:hAnsi="Yu Gothic"/>
          <w:b w:val="false"/>
          <w:bCs w:val="false"/>
          <w:sz w:val="20"/>
          <w:szCs w:val="20"/>
        </w:rPr>
        <w:t xml:space="preserve">評価手法：EBITDAマルチプル法(類似会社/類似取引)を主、DCF法を補完。株式価値=事業価値(正常化EBITDA×マルチプル)−ネットデット±運転資本調整。</w:t>
      </w:r>
    </w:p>
    <w:p>
      <w:pPr>
        <w:spacing w:after="60"/>
      </w:pPr>
      <w:r>
        <w:rPr>
          <w:rFonts w:ascii="Yu Gothic" w:cs="Yu Gothic" w:eastAsia="Yu Gothic" w:hAnsi="Yu Gothic"/>
          <w:b w:val="false"/>
          <w:bCs w:val="false"/>
          <w:sz w:val="20"/>
          <w:szCs w:val="20"/>
        </w:rPr>
        <w:t xml:space="preserve">事業価値(EV)：正常化EBITDA約1.6億円をベースに、私的経費アドバック(+約12百万円)と地代正常化・退職給付費用等の減算を反映した調整後EBITDA(概算1.5-1.7億円)にマルチプル(製造業中小・顧客集中割引後で4-5倍程度)を適用し、事業価値レンジ約6.0-8.5億円。</w:t>
      </w:r>
    </w:p>
    <w:p>
      <w:pPr>
        <w:spacing w:after="60"/>
      </w:pPr>
      <w:r>
        <w:rPr>
          <w:rFonts w:ascii="Yu Gothic" w:cs="Yu Gothic" w:eastAsia="Yu Gothic" w:hAnsi="Yu Gothic"/>
          <w:b w:val="false"/>
          <w:bCs w:val="false"/>
          <w:sz w:val="20"/>
          <w:szCs w:val="20"/>
        </w:rPr>
        <w:t xml:space="preserve">正常収益力(QoE)：正常化調整: (+)オーナー私的経費12百万円/年のアドバック、(+)過小資本コストの見直し。(−)本社敷地地代の相場水準への正常化、(−)退職給付費用の期間費用化、(−)固定残業未払是正に伴う人件費適正化。これらを反映した持続可能なEBITDAを算定。</w:t>
      </w:r>
    </w:p>
    <w:p>
      <w:pPr>
        <w:spacing w:after="60"/>
      </w:pPr>
      <w:r>
        <w:rPr>
          <w:rFonts w:ascii="Yu Gothic" w:cs="Yu Gothic" w:eastAsia="Yu Gothic" w:hAnsi="Yu Gothic"/>
          <w:b w:val="false"/>
          <w:bCs w:val="false"/>
          <w:sz w:val="20"/>
          <w:szCs w:val="20"/>
        </w:rPr>
        <w:t xml:space="preserve">ネットデット：借入金3.2億円−現預金1.1億円=純有利子負債2.1億円。これに退職給付引当金未計上分約0.6億円(デット類似項目)を加算。未払残業代の簿外債務約0.3億円も控除項目候補。調整後ネットデット概算2.7-3.0億円。</w:t>
      </w:r>
    </w:p>
    <w:p>
      <w:pPr>
        <w:spacing w:after="60"/>
      </w:pPr>
      <w:r>
        <w:rPr>
          <w:rFonts w:ascii="Yu Gothic" w:cs="Yu Gothic" w:eastAsia="Yu Gothic" w:hAnsi="Yu Gothic"/>
          <w:b w:val="false"/>
          <w:bCs w:val="false"/>
          <w:sz w:val="20"/>
          <w:szCs w:val="20"/>
        </w:rPr>
        <w:t xml:space="preserve">正常運転資本・価格調整：棚卸資産(滞留・陳腐化の評価減後)・売上債権・仕入債務を基に正常運転資本レンジを設定。過去12-24ヶ月平均でターゲットWCを定め、クロージング実績との差額を価格調整。在庫の質の改善を先行実施しWCターゲット引下げ交渉を防止。</w:t>
      </w:r>
    </w:p>
    <w:p>
      <w:pPr>
        <w:spacing w:after="60"/>
      </w:pPr>
      <w:r>
        <w:rPr>
          <w:rFonts w:ascii="Yu Gothic" w:cs="Yu Gothic" w:eastAsia="Yu Gothic" w:hAnsi="Yu Gothic"/>
          <w:b/>
          <w:bCs/>
          <w:sz w:val="20"/>
          <w:szCs w:val="20"/>
        </w:rPr>
        <w:t xml:space="preserve">株式価値：事業価値約6.0-8.5億円 −調整後ネットデット約2.7-3.0億円 ±運転資本調整 −労務簿外債務(補償/エスクロー対応)。株式価値レンジ概算3.0-5.5億円。敷地・キーマン論点の事前解消度合いでレンジ上限に接近可能。</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tblGrid>
      <w:tr>
        <w:trPr>
          <w:tblHeader/>
        </w:trPr>
        <w:tc>
          <w:tcPr>
            <w:tcW w:type="pct" w:w="6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価格調整項目（DD反映）</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2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60%"/>
            <w:tcMar>
              <w:top w:type="dxa" w:w="30"/>
              <w:left w:type="dxa" w:w="60"/>
              <w:bottom w:type="dxa" w:w="30"/>
              <w:right w:type="dxa" w:w="60"/>
            </w:tcMar>
          </w:tcPr>
          <w:p>
            <w:r>
              <w:rPr>
                <w:rFonts w:ascii="Yu Gothic" w:cs="Yu Gothic" w:eastAsia="Yu Gothic" w:hAnsi="Yu Gothic"/>
                <w:b w:val="false"/>
                <w:bCs w:val="false"/>
                <w:sz w:val="15"/>
                <w:szCs w:val="15"/>
              </w:rPr>
              <w:t xml:space="preserve">オーナー私的経費アドバック</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12</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役員保険・社用車等の非事業経費をEBITDAに加算(年額、プラス)。</w:t>
            </w:r>
          </w:p>
        </w:tc>
      </w:tr>
      <w:tr>
        <w:tc>
          <w:tcPr>
            <w:tcW w:type="pct" w:w="60%"/>
            <w:tcMar>
              <w:top w:type="dxa" w:w="30"/>
              <w:left w:type="dxa" w:w="60"/>
              <w:bottom w:type="dxa" w:w="30"/>
              <w:right w:type="dxa" w:w="60"/>
            </w:tcMar>
          </w:tcPr>
          <w:p>
            <w:r>
              <w:rPr>
                <w:rFonts w:ascii="Yu Gothic" w:cs="Yu Gothic" w:eastAsia="Yu Gothic" w:hAnsi="Yu Gothic"/>
                <w:b w:val="false"/>
                <w:bCs w:val="false"/>
                <w:sz w:val="15"/>
                <w:szCs w:val="15"/>
              </w:rPr>
              <w:t xml:space="preserve">本社敷地地代の相場正常化</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関連当事者間の低廉地代を相場水準に修正しEBITDA減算(マイナス、金額は鑑定・相場調査で確定)。</w:t>
            </w:r>
          </w:p>
        </w:tc>
      </w:tr>
      <w:tr>
        <w:tc>
          <w:tcPr>
            <w:tcW w:type="pct" w:w="60%"/>
            <w:tcMar>
              <w:top w:type="dxa" w:w="30"/>
              <w:left w:type="dxa" w:w="60"/>
              <w:bottom w:type="dxa" w:w="30"/>
              <w:right w:type="dxa" w:w="60"/>
            </w:tcMar>
          </w:tcPr>
          <w:p>
            <w:r>
              <w:rPr>
                <w:rFonts w:ascii="Yu Gothic" w:cs="Yu Gothic" w:eastAsia="Yu Gothic" w:hAnsi="Yu Gothic"/>
                <w:b w:val="false"/>
                <w:bCs w:val="false"/>
                <w:sz w:val="15"/>
                <w:szCs w:val="15"/>
              </w:rPr>
              <w:t xml:space="preserve">退職給付引当金未計上</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-60</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簿外債務。ネットデット加算/株式価値控除。二重控除回避に留意。</w:t>
            </w:r>
          </w:p>
        </w:tc>
      </w:tr>
      <w:tr>
        <w:tc>
          <w:tcPr>
            <w:tcW w:type="pct" w:w="60%"/>
            <w:tcMar>
              <w:top w:type="dxa" w:w="30"/>
              <w:left w:type="dxa" w:w="60"/>
              <w:bottom w:type="dxa" w:w="30"/>
              <w:right w:type="dxa" w:w="60"/>
            </w:tcMar>
          </w:tcPr>
          <w:p>
            <w:r>
              <w:rPr>
                <w:rFonts w:ascii="Yu Gothic" w:cs="Yu Gothic" w:eastAsia="Yu Gothic" w:hAnsi="Yu Gothic"/>
                <w:b w:val="false"/>
                <w:bCs w:val="false"/>
                <w:sz w:val="15"/>
                <w:szCs w:val="15"/>
              </w:rPr>
              <w:t xml:space="preserve">未払残業代(遡及+付加金・社保)</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-30</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労務簿外債務。是正・和解による消込後の残額を控除またはエスクロー/補償で手当。</w:t>
            </w:r>
          </w:p>
        </w:tc>
      </w:tr>
      <w:tr>
        <w:tc>
          <w:tcPr>
            <w:tcW w:type="pct" w:w="60%"/>
            <w:tcMar>
              <w:top w:type="dxa" w:w="30"/>
              <w:left w:type="dxa" w:w="60"/>
              <w:bottom w:type="dxa" w:w="30"/>
              <w:right w:type="dxa" w:w="60"/>
            </w:tcMar>
          </w:tcPr>
          <w:p>
            <w:r>
              <w:rPr>
                <w:rFonts w:ascii="Yu Gothic" w:cs="Yu Gothic" w:eastAsia="Yu Gothic" w:hAnsi="Yu Gothic"/>
                <w:b w:val="false"/>
                <w:bCs w:val="false"/>
                <w:sz w:val="15"/>
                <w:szCs w:val="15"/>
              </w:rPr>
              <w:t xml:space="preserve">棚卸資産評価減(滞留・陳腐化)</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実地棚卸・原価差異精算後に確定。運転資本水準にも影響。</w:t>
            </w:r>
          </w:p>
        </w:tc>
      </w:tr>
    </w:tbl>
    <w:p>
      <w:pPr>
        <w:pStyle w:val="Heading2"/>
        <w:spacing w:after="90" w:before="240"/>
      </w:pPr>
      <w:r>
        <w:rPr>
          <w:rFonts w:ascii="Yu Gothic" w:cs="Yu Gothic" w:eastAsia="Yu Gothic" w:hAnsi="Yu Gothic"/>
          <w:b/>
          <w:bCs/>
        </w:rPr>
        <w:t xml:space="preserve">4. SPA（株式譲渡契約）条項</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条項</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3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2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趣旨（DD連携）</w:t>
            </w:r>
          </w:p>
        </w:tc>
        <w:tc>
          <w:tcPr>
            <w:tcW w:type="pct" w:w="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連携</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表明保証(財務諸表・簿外債務)</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表明保証</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基準日財務諸表が一般に公正妥当と認められる会計基準に準拠し重要な点で正確であること、Disclosure Scheduleに記載のない簿外債務が存在しないこと。</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退職給付引当金未計上・私的経費等は既知事項としてDisclosure Scheduleに開示し表明保証の対象から除外(免責)。開示済み事項は補償対象外とし売り手負担を限定。</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F-02</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表明保証(労務・法令遵守)</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表明保証</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労働関係法令を遵守し、開示済み事項を除き未払賃金・残業代その他の労務債務が存在しないこと。</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固定残業未払は売却前に是正・和解しDisclosure Scheduleで具体開示。開示により表明保証違反を回避し、残存分は上限付き特別補償に限定。</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F-01</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特別補償(未払残業代・製品保証/リコール)</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補償</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F-01(未払残業代)およびF-07(製品保証・求償)に係る損害について、通常補償のキャップとは別枠で個別上限を設定し補償。</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既知の特定リスクは特別補償に切り出し、通常表明保証補償のキャップに影響させない。個別上限・存続期間を短期化し売り手の想定外負担を防止。</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F-07</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補償の上限・下限(キャップ/バスケット)</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補償</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通常の表明保証違反補償の上限(キャップ)を譲渡価格の10-20%、免責下限(バスケット/デミニミス)を設定。ティッピング型ではなくエクセス型(超過額のみ)を採用。</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セルサイドとしてキャップは低め・バスケットは高め・エクセス型を主張し補償負担を最小化。事業承継型で高齢オーナーの精算完了性を重視。</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補償の存続期間</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補償</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一般表明保証は12-18ヶ月、税務・労務は法定時効に応じた期間、基本的表明(権利能力・株式所有)はより長期に設定。</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存続期間を短期化し早期のリスク遮断を図る。労務・税務は時効との整合を取りつつ、開示済み事項は原則対象外とする。</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F-01</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前提条件(CP)- 本社敷地の確保</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前提条件(CP)</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クロージングの前提として、本社工場敷地についてオーナーからの取得または相場条件の長期賃貸借契約が締結済みであること。</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事業継続の根幹でありディールブレーカー化を防ぐため事前解消をCPに設定。売り手が主導的に条件確定させ価格・成約の主導権を確保。</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F-05</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前提条件(CP)- 重要契約のCOC対応</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前提条件(CP)</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A社取引基本契約・第二工場賃貸借等の重要契約について、チェンジオブコントロールに伴う解約・不利変更がないことの確認または必要な同意取得。</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顧客集中・賃借工場の継続性を担保。秘匿要請と両立させるため取得時期・方法を設計し情報管理を徹底。</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F-03</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誓約(引継ぎ・顧問就任・競業避止)</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誓約</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オーナー社長がクロージング後一定期間(例6-12ヶ月)顧問として引継ぎに協力し、合理的範囲(期間・地域・業務)の競業避止義務を負う。</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キーマン依存の緩和とPMI円滑化。競業避止は範囲を限定し高齢オーナーの過度な拘束・負担を回避。顧問報酬は別途合意。</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F-08</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価格調整(ネットデット/運転資本)</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価格調整</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クロージング日のネットデットおよび運転資本の実績と基準額との差額により譲渡価格を調整(ロックドボックスまたはクロージング精算方式)。</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退職給付・簿外債務の二重控除を防止するため定義を明確化。売り手はロックドボックス方式を選好し価格確定性・精算の早期完了を確保。</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F-06</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秘密保持・公表</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誓約</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クロージングまで本取引の存在・内容を秘匿し、従業員・取引先への開示時期と内容は両当事者協議のうえ決定する。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従業員動揺・取引先警戒による企業価値毀損を防止。開示タイミング・対象者を段階設計し情報管理を徹底。</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F-09</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第X条 エスクロー/補償留保</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補償</w:t>
            </w:r>
          </w:p>
        </w:tc>
        <w:tc>
          <w:tcPr>
            <w:tcW w:type="pct" w:w="38%"/>
            <w:tcMar>
              <w:top w:type="dxa" w:w="30"/>
              <w:left w:type="dxa" w:w="60"/>
              <w:bottom w:type="dxa" w:w="30"/>
              <w:right w:type="dxa" w:w="60"/>
            </w:tcMar>
          </w:tcPr>
          <w:p>
            <w:r>
              <w:rPr>
                <w:rFonts w:ascii="Yu Gothic" w:cs="Yu Gothic" w:eastAsia="Yu Gothic" w:hAnsi="Yu Gothic"/>
                <w:b w:val="false"/>
                <w:bCs w:val="false"/>
                <w:sz w:val="15"/>
                <w:szCs w:val="15"/>
              </w:rPr>
              <w:t xml:space="preserve">未払残業代・製品保証等の特定リスクに対し譲渡価格の一部をエスクロー留保し、一定期間経過後に解放。</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買い手の補償懸念に対しエスクローで対応し表明保証違反主張を抑制。留保額・留保期間を必要最小限に設計し早期資金回収を図る。</w:t>
            </w:r>
          </w:p>
        </w:tc>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F-01</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color w:val="999999"/>
        <w:sz w:val="14"/>
        <w:szCs w:val="14"/>
      </w:rPr>
      <w:t xml:space="preserve">テスト精密工業株式会社　M&amp;A DD・SPAパッケージ　—　</w:t>
    </w:r>
    <w:r>
      <w:rPr>
        <w:rFonts w:ascii="Yu Gothic" w:cs="Yu Gothic" w:eastAsia="Yu Gothic" w:hAnsi="Yu Gothic"/>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2026-07-03T07:35:56.821Z</dcterms:created>
  <dcterms:modified xsi:type="dcterms:W3CDTF">2026-07-03T07:35:56.821Z</dcterms:modified>
</cp:coreProperties>
</file>

<file path=docProps/custom.xml><?xml version="1.0" encoding="utf-8"?>
<Properties xmlns="http://schemas.openxmlformats.org/officeDocument/2006/custom-properties" xmlns:vt="http://schemas.openxmlformats.org/officeDocument/2006/docPropsVTypes"/>
</file>