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28"/>
          <w:szCs w:val="28"/>
        </w:rPr>
        <w:t xml:space="preserve">ノンネーム概要（ティーザー）</w:t>
      </w:r>
    </w:p>
    <w:p>
      <w:pPr>
        <w:spacing w:after="160"/>
        <w:jc w:val="center"/>
      </w:pPr>
      <w:r>
        <w:rPr>
          <w:rFonts w:ascii="Yu Gothic" w:cs="Yu Gothic" w:eastAsia="Yu Gothic" w:hAnsi="Yu Gothic"/>
          <w:color w:val="8A8170"/>
          <w:sz w:val="15"/>
          <w:szCs w:val="15"/>
        </w:rPr>
        <w:t xml:space="preserve">STRICTLY CONFIDENTIAL — 秘密保持契約（NDA）締結前の配布用・社名非開示</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案件</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首都圏近郊・精密金属加工／機械部品製造業（事業承継型）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業種</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精密切削・金属加工／機械部品製造業（多品種少量・高精度加工）</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所在地</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首都圏（関東圏内）</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事業規模</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売上高：概算10〜15億円レンジ／調整後EBITDA：約1.5〜1.7億円（正常化ベース概算）／従業員：概ね50〜80名レンジ</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想定スキーム</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株式譲渡（オーナー保有100%）。ロックアップ・短期顧問契約によるキーマン移行を想定</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6"/>
                <w:szCs w:val="16"/>
              </w:rPr>
              <w:t xml:space="preserve">譲渡理由</w:t>
            </w:r>
          </w:p>
        </w:tc>
        <w:tc>
          <w:tcPr>
            <w:tcW w:type="pct" w:w="78%"/>
            <w:tcMar>
              <w:top w:type="dxa" w:w="30"/>
              <w:left w:type="dxa" w:w="60"/>
              <w:bottom w:type="dxa" w:w="30"/>
              <w:right w:type="dxa" w:w="60"/>
            </w:tcMar>
          </w:tcPr>
          <w:p>
            <w:r>
              <w:rPr>
                <w:rFonts w:ascii="Yu Gothic" w:cs="Yu Gothic" w:eastAsia="Yu Gothic" w:hAnsi="Yu Gothic"/>
                <w:b w:val="false"/>
                <w:bCs w:val="false"/>
                <w:sz w:val="16"/>
                <w:szCs w:val="16"/>
              </w:rPr>
              <w:t xml:space="preserve">オーナー社長の高齢化・後継者不在に伴う事業承継型M&amp;A。技術・顧客基盤・新鋭設備を次世代の資本・経営体制に承継し、更なる成長を目指す前向きな選択と集中</w:t>
            </w:r>
          </w:p>
        </w:tc>
      </w:tr>
    </w:tbl>
    <w:p>
      <w:pPr>
        <w:pStyle w:val="Heading2"/>
        <w:spacing w:after="90" w:before="240"/>
      </w:pPr>
      <w:r>
        <w:rPr>
          <w:rFonts w:ascii="Yu Gothic" w:cs="Yu Gothic" w:eastAsia="Yu Gothic" w:hAnsi="Yu Gothic"/>
          <w:b/>
          <w:bCs/>
        </w:rPr>
        <w:t xml:space="preserve">本件の魅力</w:t>
      </w:r>
    </w:p>
    <w:p>
      <w:pPr>
        <w:spacing w:after="60"/>
      </w:pPr>
      <w:r>
        <w:rPr>
          <w:rFonts w:ascii="Yu Gothic" w:cs="Yu Gothic" w:eastAsia="Yu Gothic" w:hAnsi="Yu Gothic"/>
          <w:b w:val="false"/>
          <w:bCs w:val="false"/>
          <w:sz w:val="20"/>
          <w:szCs w:val="20"/>
        </w:rPr>
        <w:t xml:space="preserve">・高精度・多品種少量加工に対応する技術力と、5軸加工機を含む新鋭設備群による高い加工競争力</w:t>
      </w:r>
    </w:p>
    <w:p>
      <w:pPr>
        <w:spacing w:after="60"/>
      </w:pPr>
      <w:r>
        <w:rPr>
          <w:rFonts w:ascii="Yu Gothic" w:cs="Yu Gothic" w:eastAsia="Yu Gothic" w:hAnsi="Yu Gothic"/>
          <w:b w:val="false"/>
          <w:bCs w:val="false"/>
          <w:sz w:val="20"/>
          <w:szCs w:val="20"/>
        </w:rPr>
        <w:t xml:space="preserve">・医療機器向け等を含む長期継続取引の顧客基盤と、複数年内示・受注残に裏打ちされた収益の安定性</w:t>
      </w:r>
    </w:p>
    <w:p>
      <w:pPr>
        <w:spacing w:after="60"/>
      </w:pPr>
      <w:r>
        <w:rPr>
          <w:rFonts w:ascii="Yu Gothic" w:cs="Yu Gothic" w:eastAsia="Yu Gothic" w:hAnsi="Yu Gothic"/>
          <w:b w:val="false"/>
          <w:bCs w:val="false"/>
          <w:sz w:val="20"/>
          <w:szCs w:val="20"/>
        </w:rPr>
        <w:t xml:space="preserve">・ISO9001に基づく品質・トレーサビリティ管理体制と、更新投資負担の小さい設備ポートフォリオ</w:t>
      </w:r>
    </w:p>
    <w:p>
      <w:pPr>
        <w:spacing w:after="60"/>
      </w:pPr>
      <w:r>
        <w:rPr>
          <w:rFonts w:ascii="Yu Gothic" w:cs="Yu Gothic" w:eastAsia="Yu Gothic" w:hAnsi="Yu Gothic"/>
          <w:b w:val="false"/>
          <w:bCs w:val="false"/>
          <w:sz w:val="20"/>
          <w:szCs w:val="20"/>
        </w:rPr>
        <w:t xml:space="preserve">・オーナー私的経費の整理による『クリーンなPL』提示と、売却前磨き上げによる各種論点の事前解消</w:t>
      </w:r>
    </w:p>
    <w:p>
      <w:pPr>
        <w:spacing w:after="60"/>
      </w:pPr>
      <w:r>
        <w:rPr>
          <w:rFonts w:ascii="Yu Gothic" w:cs="Yu Gothic" w:eastAsia="Yu Gothic" w:hAnsi="Yu Gothic"/>
          <w:b w:val="false"/>
          <w:bCs w:val="false"/>
          <w:sz w:val="20"/>
          <w:szCs w:val="20"/>
        </w:rPr>
        <w:t xml:space="preserve">・幹部への権限移譲・属人ノウハウの文書化を進めており、PMI移行負担を低減できる体制整備</w:t>
      </w:r>
    </w:p>
    <w:p>
      <w:pPr>
        <w:spacing w:after="60"/>
      </w:pPr>
      <w:r>
        <w:rPr>
          <w:rFonts w:ascii="Yu Gothic" w:cs="Yu Gothic" w:eastAsia="Yu Gothic" w:hAnsi="Yu Gothic"/>
          <w:b w:val="false"/>
          <w:bCs w:val="false"/>
          <w:color w:val="8A8170"/>
          <w:sz w:val="16"/>
          <w:szCs w:val="16"/>
        </w:rPr>
        <w:t xml:space="preserve">※ 詳細情報（社名を含む企業概要書）は秘密保持契約の締結後に開示します。</w:t>
      </w:r>
    </w:p>
    <w:p>
      <w:r>
        <w:br w:type="page"/>
      </w:r>
    </w:p>
    <w:p>
      <w:pPr>
        <w:spacing w:after="40" w:before="240"/>
        <w:jc w:val="center"/>
      </w:pPr>
      <w:r>
        <w:rPr>
          <w:rFonts w:ascii="Yu Gothic" w:cs="Yu Gothic" w:eastAsia="Yu Gothic" w:hAnsi="Yu Gothic"/>
          <w:b/>
          <w:bCs/>
          <w:sz w:val="28"/>
          <w:szCs w:val="28"/>
        </w:rPr>
        <w:t xml:space="preserve">企業概要書（Information Memorandum）</w:t>
      </w:r>
    </w:p>
    <w:p>
      <w:pPr>
        <w:spacing w:after="20"/>
        <w:jc w:val="center"/>
      </w:pPr>
      <w:r>
        <w:rPr>
          <w:rFonts w:ascii="Yu Gothic" w:cs="Yu Gothic" w:eastAsia="Yu Gothic" w:hAnsi="Yu Gothic"/>
          <w:sz w:val="20"/>
          <w:szCs w:val="20"/>
        </w:rPr>
        <w:t xml:space="preserve">テスト精密工業株式会社　／　株式譲渡（100%取得、事業承継型M&amp;A、セルサイド支援）</w:t>
      </w:r>
    </w:p>
    <w:p>
      <w:pPr>
        <w:spacing w:after="160"/>
        <w:jc w:val="center"/>
      </w:pPr>
      <w:r>
        <w:rPr>
          <w:rFonts w:ascii="Yu Gothic" w:cs="Yu Gothic" w:eastAsia="Yu Gothic" w:hAnsi="Yu Gothic"/>
          <w:color w:val="8A8170"/>
          <w:sz w:val="15"/>
          <w:szCs w:val="15"/>
        </w:rPr>
        <w:t xml:space="preserve">CONFIDENTIAL — NDA締結済みの候補先限定（AI生成ドラフト・専門家レビュー前提）</w:t>
      </w:r>
    </w:p>
    <w:p>
      <w:pPr>
        <w:pStyle w:val="Heading2"/>
        <w:spacing w:after="90" w:before="240"/>
      </w:pPr>
      <w:r>
        <w:rPr>
          <w:rFonts w:ascii="Yu Gothic" w:cs="Yu Gothic" w:eastAsia="Yu Gothic" w:hAnsi="Yu Gothic"/>
          <w:b/>
          <w:bCs/>
        </w:rPr>
        <w:t xml:space="preserve">1. 事業概要</w:t>
      </w:r>
    </w:p>
    <w:p>
      <w:pPr>
        <w:spacing w:after="60"/>
      </w:pPr>
      <w:r>
        <w:rPr>
          <w:rFonts w:ascii="Yu Gothic" w:cs="Yu Gothic" w:eastAsia="Yu Gothic" w:hAnsi="Yu Gothic"/>
          <w:b w:val="false"/>
          <w:bCs w:val="false"/>
          <w:sz w:val="20"/>
          <w:szCs w:val="20"/>
        </w:rPr>
        <w:t xml:space="preserve">当社は首都圏近郊に本社工場を構える精密金属加工・機械部品製造業です。自動車・電機・医療機器等の産業向けに、多品種少量・高精度の切削加工および部品製造を手掛けています。5軸加工機を含む新鋭設備を保有し、試作から量産まで一貫した加工対応力を強みとします。収益認識は出荷基準（完成品引渡時）に基づき、標準原価計算により棚卸資産を評価し期末実績調整を行っています。主要KPIは売上高・営業利益率・在庫回転率・設備稼働率であり、いずれも業界水準に照らし堅調に推移しています。本IMは会計士レビュー前提のドラフトであり、数値は与件と整合させつつ、不明値はレンジ・概算として明示しています。</w:t>
      </w:r>
    </w:p>
    <w:p>
      <w:pPr>
        <w:pStyle w:val="Heading2"/>
        <w:spacing w:after="90" w:before="240"/>
      </w:pPr>
      <w:r>
        <w:rPr>
          <w:rFonts w:ascii="Yu Gothic" w:cs="Yu Gothic" w:eastAsia="Yu Gothic" w:hAnsi="Yu Gothic"/>
          <w:b/>
          <w:bCs/>
        </w:rPr>
        <w:t xml:space="preserve">2. 沿革</w:t>
      </w:r>
    </w:p>
    <w:p>
      <w:pPr>
        <w:spacing w:after="60"/>
      </w:pPr>
      <w:r>
        <w:rPr>
          <w:rFonts w:ascii="Yu Gothic" w:cs="Yu Gothic" w:eastAsia="Yu Gothic" w:hAnsi="Yu Gothic"/>
          <w:b w:val="false"/>
          <w:bCs w:val="false"/>
          <w:sz w:val="20"/>
          <w:szCs w:val="20"/>
        </w:rPr>
        <w:t xml:space="preserve">創業以来、精密切削加工を核として技術力を蓄積し、自動車・電機分野を中心に取引基盤を拡大してきました。近年は医療機器向け等の高付加価値領域へ用途分散を進め、5軸加工機等の新鋭設備を計画的に導入することで加工能力・品質を強化しています。オーナー社長（75歳）が長年にわたり経営・技術・顧客対応を牽引してきましたが、後継者不在を背景に、事業のさらなる発展のため第三者への承継を検討するに至りました。※具体的な創業年・拠点等は特定回避のため本サマリでは伏せています。</w:t>
      </w:r>
    </w:p>
    <w:p>
      <w:pPr>
        <w:pStyle w:val="Heading2"/>
        <w:spacing w:after="90" w:before="240"/>
      </w:pPr>
      <w:r>
        <w:rPr>
          <w:rFonts w:ascii="Yu Gothic" w:cs="Yu Gothic" w:eastAsia="Yu Gothic" w:hAnsi="Yu Gothic"/>
          <w:b/>
          <w:bCs/>
        </w:rPr>
        <w:t xml:space="preserve">3. 強み・差別化</w:t>
      </w:r>
    </w:p>
    <w:p>
      <w:pPr>
        <w:spacing w:after="60"/>
      </w:pPr>
      <w:r>
        <w:rPr>
          <w:rFonts w:ascii="Yu Gothic" w:cs="Yu Gothic" w:eastAsia="Yu Gothic" w:hAnsi="Yu Gothic"/>
          <w:b w:val="false"/>
          <w:bCs w:val="false"/>
          <w:sz w:val="20"/>
          <w:szCs w:val="20"/>
        </w:rPr>
        <w:t xml:space="preserve">①技術力：多品種少量・高精度加工に対応し、難加工材や複雑形状にも対応可能。②設備競争力：5軸加工機を含む新鋭設備を保有し、稼働率・生産能力ともに高水準。設備は比較的新しく、当面の大型更新投資負担が小さい点は買い手のFCF観点で魅力です。③品質管理：ISO9001に基づく品質記録・トレーサビリティを整備し、クレーム・不良率も管理されています。④顧客関係：主要顧客との長期継続取引に加え、複数年内示・受注残を確保しており、収益の予見性が高い。⑤磨き上げ：売却前DDにより労務・在庫・引当等の論点を事前に整理し、開示品質の高い『クリーンな』事業として提示できる点も差別化要素です。</w:t>
      </w:r>
    </w:p>
    <w:p>
      <w:pPr>
        <w:pStyle w:val="Heading2"/>
        <w:spacing w:after="90" w:before="240"/>
      </w:pPr>
      <w:r>
        <w:rPr>
          <w:rFonts w:ascii="Yu Gothic" w:cs="Yu Gothic" w:eastAsia="Yu Gothic" w:hAnsi="Yu Gothic"/>
          <w:b/>
          <w:bCs/>
        </w:rPr>
        <w:t xml:space="preserve">4. 市場と競合</w:t>
      </w:r>
    </w:p>
    <w:p>
      <w:pPr>
        <w:spacing w:after="60"/>
      </w:pPr>
      <w:r>
        <w:rPr>
          <w:rFonts w:ascii="Yu Gothic" w:cs="Yu Gothic" w:eastAsia="Yu Gothic" w:hAnsi="Yu Gothic"/>
          <w:b w:val="false"/>
          <w:bCs w:val="false"/>
          <w:sz w:val="20"/>
          <w:szCs w:val="20"/>
        </w:rPr>
        <w:t xml:space="preserve">精密金属加工市場は、自動車の電動化・医療機器・産業機械等を背景に、高精度・短納期対応への需要が根強く存在します。一方で原材料調達（地政学・海外依存）、為替変動、技術陳腐化による評価減、環境規制対応コスト等が業界共通のリスク要因です。当社は多品種少量・高精度領域に特化することで価格競争を回避し、医療機器向け等への用途分散により景気変動耐性を高めています。主要顧客A社への売上集中（約42%）は依存リスクとして認識していますが、取引基本契約の精査・チェンジオブコントロール条項の確認、複数年内示・受注残の資料化により継続性を裏付けています。用途分散の進展は今後の集中リスク低減の方向性を示すものです。</w:t>
      </w:r>
    </w:p>
    <w:p>
      <w:pPr>
        <w:pStyle w:val="Heading2"/>
        <w:spacing w:after="90" w:before="240"/>
      </w:pPr>
      <w:r>
        <w:rPr>
          <w:rFonts w:ascii="Yu Gothic" w:cs="Yu Gothic" w:eastAsia="Yu Gothic" w:hAnsi="Yu Gothic"/>
          <w:b/>
          <w:bCs/>
        </w:rPr>
        <w:t xml:space="preserve">5. 組織・人員</w:t>
      </w:r>
    </w:p>
    <w:p>
      <w:pPr>
        <w:spacing w:after="60"/>
      </w:pPr>
      <w:r>
        <w:rPr>
          <w:rFonts w:ascii="Yu Gothic" w:cs="Yu Gothic" w:eastAsia="Yu Gothic" w:hAnsi="Yu Gothic"/>
          <w:b w:val="false"/>
          <w:bCs w:val="false"/>
          <w:sz w:val="20"/>
          <w:szCs w:val="20"/>
        </w:rPr>
        <w:t xml:space="preserve">従業員は概ね50〜80名レンジ。製造・品質・購買・管理の各機能を有し、原価計算システム・ERPの運用、発注権限分離・受入検収・払出分離・定期棚卸等の内部牽制を整備しています。現状はオーナー社長への属人依存が一定程度存在しますが、売却前の磨き上げとして、業務・技術・顧客対応の属人ノウハウをマニュアル化し、No.2・工場長等の幹部への権限移譲を進めています。譲渡後は一定期間（6〜12ヶ月）のオーナー顧問就任・段階的移行を想定しており、円滑なPMIを支援します。※従業員・取引先に対しては売却検討事実を秘匿し、コードネーム化・NDA・アクセス制限による情報管理を徹底しています。</w:t>
      </w:r>
    </w:p>
    <w:p>
      <w:pPr>
        <w:pStyle w:val="Heading2"/>
        <w:spacing w:after="90" w:before="240"/>
      </w:pPr>
      <w:r>
        <w:rPr>
          <w:rFonts w:ascii="Yu Gothic" w:cs="Yu Gothic" w:eastAsia="Yu Gothic" w:hAnsi="Yu Gothic"/>
          <w:b/>
          <w:bCs/>
        </w:rPr>
        <w:t xml:space="preserve">6. 財務ハイライト（3期）</w:t>
      </w:r>
    </w:p>
    <w:p>
      <w:pPr>
        <w:spacing w:after="60"/>
      </w:pPr>
      <w:r>
        <w:rPr>
          <w:rFonts w:ascii="Yu Gothic" w:cs="Yu Gothic" w:eastAsia="Yu Gothic" w:hAnsi="Yu Gothic"/>
          <w:b w:val="false"/>
          <w:bCs w:val="false"/>
          <w:sz w:val="20"/>
          <w:szCs w:val="20"/>
        </w:rPr>
        <w:t xml:space="preserve">直近3期の実績・概算は以下の通りです（数値は与件整合ベースの概算・レンジであり、会計士レビューにて確定予定）。【売上高】FY2023：概算11〜13億円／FY2024：概算12〜14億円／FY2025（2025年3月期・直近実績）：概算13〜15億円と緩やかな増収基調。【営業利益】各期概ね1.0〜1.4億円レンジで安定推移。【EBITDA】報告ベースで概ね1.3〜1.5億円、正常化調整後で約1.6億円をベースとしています。正常化調整の内容：（＋）オーナー私的経費アドバック約12百万円/年、（＋）過小資本コストの見直し、（−）本社敷地地代の相場水準への正常化、（−）退職給付費用の期間費用化、（−）固定残業是正に伴う人件費適正化。これらを反映した持続可能な調整後EBITDAは概算1.5〜1.7億円。調整後ネットデットは約2.7〜3.0億円。退職給付引当金の未計上（簿外）は簡便法により要支給額を算定済みで、価格調整に織り込む前提です。棚卸資産は売却前に実地棚卸・原価差異精算・滞留/陳腐化評価減を実施し在庫の質をクリーン化しています。</w:t>
      </w:r>
    </w:p>
    <w:p>
      <w:pPr>
        <w:pStyle w:val="Heading2"/>
        <w:spacing w:after="90" w:before="240"/>
      </w:pPr>
      <w:r>
        <w:rPr>
          <w:rFonts w:ascii="Yu Gothic" w:cs="Yu Gothic" w:eastAsia="Yu Gothic" w:hAnsi="Yu Gothic"/>
          <w:b/>
          <w:bCs/>
        </w:rPr>
        <w:t xml:space="preserve">7. 成長戦略・シナジー仮説</w:t>
      </w:r>
    </w:p>
    <w:p>
      <w:pPr>
        <w:spacing w:after="60"/>
      </w:pPr>
      <w:r>
        <w:rPr>
          <w:rFonts w:ascii="Yu Gothic" w:cs="Yu Gothic" w:eastAsia="Yu Gothic" w:hAnsi="Yu Gothic"/>
          <w:b w:val="false"/>
          <w:bCs w:val="false"/>
          <w:sz w:val="20"/>
          <w:szCs w:val="20"/>
        </w:rPr>
        <w:t xml:space="preserve">①用途分散の加速：医療機器向け等の高付加価値領域を拡大し、主要顧客集中を段階的に低減。②設備稼働の最適化：新鋭5軸加工機の稼働率向上と多能工化により限界利益を改善。③買い手シナジー仮説：（a）買い手の顧客チャネル・営業網を活用した新規受注獲得、（b）調達の共同化による原材料コスト低減、（c）買い手の管理体制・人材を活用したガバナンス・後継体制の補完、（d）近接拠点との生産分業・設備相互活用による稼働平準化。④管理高度化：ERP・原価管理の一層の高度化により収益性の可視化を推進。これらは仮説であり、実現性・効果はDD・PMI計画にて精査される前提です。</w:t>
      </w:r>
    </w:p>
    <w:p>
      <w:pPr>
        <w:pStyle w:val="Heading2"/>
        <w:spacing w:after="90" w:before="240"/>
      </w:pPr>
      <w:r>
        <w:rPr>
          <w:rFonts w:ascii="Yu Gothic" w:cs="Yu Gothic" w:eastAsia="Yu Gothic" w:hAnsi="Yu Gothic"/>
          <w:b/>
          <w:bCs/>
        </w:rPr>
        <w:t xml:space="preserve">8. 想定ストラクチャー</w:t>
      </w:r>
    </w:p>
    <w:p>
      <w:pPr>
        <w:spacing w:after="60"/>
      </w:pPr>
      <w:r>
        <w:rPr>
          <w:rFonts w:ascii="Yu Gothic" w:cs="Yu Gothic" w:eastAsia="Yu Gothic" w:hAnsi="Yu Gothic"/>
          <w:b w:val="false"/>
          <w:bCs w:val="false"/>
          <w:sz w:val="20"/>
          <w:szCs w:val="20"/>
        </w:rPr>
        <w:t xml:space="preserve">スキームはオーナー保有株式100%の株式譲渡（事業承継型）。株式価値は、調整後EBITDA（概算1.5〜1.7億円）に製造業中小・顧客集中割引後のマルチプル（概ね4〜5倍）を適用した事業価値約6.0〜8.5億円をベースに、調整後ネットデット約2.7〜3.0億円を控除、運転資本調整および労務簿外債務（補償/エスクロー対応）を反映し、株式価値レンジは概算3.0〜5.5億円。評価はEBITDAマルチプル法を主、DCF法を補完とします。オーナー個人所有の本社工場敷地は、（a）会社または買い手による取得、（b）相場地代での長期賃貸借（定期借地等）の締結、のいずれかで売却前に敷地確保を確定させ、関連当事者取引を正常条件へ是正します。第二工場賃貸借契約のCOC条項・残存期間も事前確認します。キーマン移行はロックアップ・短期顧問契約（6〜12ヶ月）で対応。退職給付・未払残業等の既知調整は価格調整と補償の二重控除を防ぐようDA/DR定義交渉で整理します。</w:t>
      </w:r>
    </w:p>
    <w:p>
      <w:pPr>
        <w:pStyle w:val="Heading2"/>
        <w:spacing w:after="90" w:before="240"/>
      </w:pPr>
      <w:r>
        <w:rPr>
          <w:rFonts w:ascii="Yu Gothic" w:cs="Yu Gothic" w:eastAsia="Yu Gothic" w:hAnsi="Yu Gothic"/>
          <w:b/>
          <w:bCs/>
        </w:rPr>
        <w:t xml:space="preserve">9. 本件の魅力</w:t>
      </w:r>
    </w:p>
    <w:p>
      <w:pPr>
        <w:spacing w:after="60"/>
      </w:pPr>
      <w:r>
        <w:rPr>
          <w:rFonts w:ascii="Yu Gothic" w:cs="Yu Gothic" w:eastAsia="Yu Gothic" w:hAnsi="Yu Gothic"/>
          <w:b w:val="false"/>
          <w:bCs w:val="false"/>
          <w:sz w:val="20"/>
          <w:szCs w:val="20"/>
        </w:rPr>
        <w:t xml:space="preserve">本件は、①新鋭設備・高精度技術・安定顧客基盤という事業の実質的価値、②売却前DD（磨き上げ）による論点の事前解消と開示品質の高さ、③クリーンなPL提示による正常化EBITDAの説得力、という三点で買い手にとって取得後の不確実性が小さい案件です。労務（固定残業是正）・財務（退職給付・在庫評価）・法務（敷地確保）・ビジネス（顧客集中・キーマン依存）の各論点は、是正済みまたは対応方針を明確化しており、Disclosure Scheduleでの具体開示と価格/補償設計により表明保証・補償負担を合理的範囲に収める設計です。段階的なキーマン移行体制と幹部への権限移譲により、承継後の事業継続性も担保されます。用途分散・調達共同化・チャネル活用等のシナジー余地も大きく、成長のための資本・経営基盤を得られる魅力的な事業承継案件です。</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企業概要書（IM）ドラフト　CONFIDENTIAL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2026-07-03T07:35:56.851Z</dcterms:created>
  <dcterms:modified xsi:type="dcterms:W3CDTF">2026-07-03T07:35:56.851Z</dcterms:modified>
</cp:coreProperties>
</file>

<file path=docProps/custom.xml><?xml version="1.0" encoding="utf-8"?>
<Properties xmlns="http://schemas.openxmlformats.org/officeDocument/2006/custom-properties" xmlns:vt="http://schemas.openxmlformats.org/officeDocument/2006/docPropsVTypes"/>
</file>