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240"/>
        <w:jc w:val="center"/>
      </w:pPr>
      <w:r>
        <w:rPr>
          <w:rFonts w:ascii="Yu Gothic" w:cs="Yu Gothic" w:eastAsia="Yu Gothic" w:hAnsi="Yu Gothic"/>
          <w:b/>
          <w:bCs/>
          <w:sz w:val="30"/>
          <w:szCs w:val="30"/>
        </w:rPr>
        <w:t xml:space="preserve">サンプル製造株式会社</w:t>
      </w:r>
    </w:p>
    <w:p>
      <w:pPr>
        <w:spacing w:after="20"/>
        <w:jc w:val="center"/>
      </w:pPr>
      <w:r>
        <w:rPr>
          <w:rFonts w:ascii="Yu Gothic" w:cs="Yu Gothic" w:eastAsia="Yu Gothic" w:hAnsi="Yu Gothic"/>
          <w:sz w:val="20"/>
          <w:szCs w:val="20"/>
        </w:rPr>
        <w:t xml:space="preserve">管理部 統合プラットフォーム（システム化パッケージ）</w:t>
      </w:r>
    </w:p>
    <w:p>
      <w:pPr>
        <w:spacing w:after="160"/>
        <w:jc w:val="center"/>
      </w:pPr>
      <w:r>
        <w:rPr>
          <w:rFonts w:ascii="Yu Gothic" w:cs="Yu Gothic" w:eastAsia="Yu Gothic" w:hAnsi="Yu Gothic"/>
          <w:color w:val="8A8170"/>
          <w:sz w:val="15"/>
          <w:szCs w:val="15"/>
        </w:rPr>
        <w:t xml:space="preserve">会計士 × AI（AI生成ドラフト・会計士レビュー前提）</w:t>
      </w:r>
    </w:p>
    <w:tbl>
      <w:tblPr>
        <w:tblW w:type="pct" w:w="100%"/>
        <w:tblBorders>
          <w:top w:val="single" w:color="CFC6B0" w:sz="3"/>
          <w:left w:val="single" w:color="CFC6B0" w:sz="3"/>
          <w:bottom w:val="single" w:color="CFC6B0" w:sz="3"/>
          <w:right w:val="single" w:color="CFC6B0" w:sz="3"/>
          <w:insideH w:val="single" w:color="CFC6B0" w:sz="3"/>
          <w:insideV w:val="single" w:color="CFC6B0" w:sz="3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18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5"/>
                <w:szCs w:val="15"/>
              </w:rPr>
              <w:t xml:space="preserve">作成者</w:t>
            </w:r>
          </w:p>
        </w:tc>
        <w:tc>
          <w:tcPr>
            <w:tcW w:type="pct" w:w="32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pct" w:w="18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5"/>
                <w:szCs w:val="15"/>
              </w:rPr>
              <w:t xml:space="preserve">承認者</w:t>
            </w:r>
          </w:p>
        </w:tc>
        <w:tc>
          <w:tcPr>
            <w:tcW w:type="pct" w:w="32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/>
            </w:r>
          </w:p>
        </w:tc>
      </w:tr>
    </w:tbl>
    <w:p>
      <w:pPr>
        <w:pStyle w:val="Heading1"/>
        <w:spacing w:after="80" w:before="280"/>
      </w:pPr>
      <w:r>
        <w:rPr>
          <w:rFonts w:ascii="Yu Gothic" w:cs="Yu Gothic" w:eastAsia="Yu Gothic" w:hAnsi="Yu Gothic"/>
          <w:b/>
          <w:bCs/>
        </w:rPr>
        <w:t xml:space="preserve">1. 管理部門ごとの統合設計</w:t>
      </w:r>
    </w:p>
    <w:p>
      <w:pPr>
        <w:pStyle w:val="Heading3"/>
        <w:spacing w:after="60" w:before="200"/>
      </w:pPr>
      <w:r>
        <w:rPr>
          <w:rFonts w:ascii="Yu Gothic" w:cs="Yu Gothic" w:eastAsia="Yu Gothic" w:hAnsi="Yu Gothic"/>
          <w:b/>
          <w:bCs/>
        </w:rPr>
        <w:t xml:space="preserve">経理財務（基本パッケージ）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担当領域：標準原価計算・原価差異分析・棚卸資産評価(原材料・仕掛品・完成品)・工程間振替の会計処理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現状課題：標準原価と実績の差異把握が月次後手で、期末実績調整に多大な手作業。工程間振替がExcel管理で証跡が不十分。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システム化後：ERP原価モジュールで製造指図ごとに標準原価を自動配賦→実績(材料・労務・経費)を自動取込→差異を品目/工程別に自動計算→期末は配賦差異を在庫と売上原価へ自動按分。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想定ツール・AI：ERP(原価計算モジュール)、製造実行システム(MES)連携、BI(原価差異ダッシュボード)、AI差異要因分析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KPI・効果：原価差異率、在庫回転率、月次原価確定リードタイム、標準原価改定頻度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内部統制との整合：原価計算システムの厳密運用、配賦ロジックの変更管理統制、差異承認フロー</w:t>
      </w:r>
    </w:p>
    <w:p>
      <w:pPr>
        <w:pStyle w:val="Heading3"/>
        <w:spacing w:after="60" w:before="200"/>
      </w:pPr>
      <w:r>
        <w:rPr>
          <w:rFonts w:ascii="Yu Gothic" w:cs="Yu Gothic" w:eastAsia="Yu Gothic" w:hAnsi="Yu Gothic"/>
          <w:b/>
          <w:bCs/>
        </w:rPr>
        <w:t xml:space="preserve">経理財務（基本パッケージ）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担当領域：購買から支払までのP2P(発注・受入検収・買掛・支払)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現状課題：発注権限と検収・支払の牽制が曖昧で、紙の検収書とのマッチングに時間。三点照合が手作業。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システム化後：購買申請→ワークフロー承認→発注→受入検収(MES/WMS連携)→AI-OCRで請求書取込→発注・検収・請求の三点自動照合→差異のみ人手確認→支払データ自動生成。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想定ツール・AI：ERP(購買/債務)、AI-OCR、RPA(支払消込)、電子帳簿保存対応ストレージ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KPI・効果：三点照合自動マッチ率、請求書処理単価、支払期日遵守率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内部統制との整合：発注権限分離・受入検収・払出分離、職務分離マトリクス、電子帳簿保存法対応</w:t>
      </w:r>
    </w:p>
    <w:p>
      <w:pPr>
        <w:pStyle w:val="Heading3"/>
        <w:spacing w:after="60" w:before="200"/>
      </w:pPr>
      <w:r>
        <w:rPr>
          <w:rFonts w:ascii="Yu Gothic" w:cs="Yu Gothic" w:eastAsia="Yu Gothic" w:hAnsi="Yu Gothic"/>
          <w:b/>
          <w:bCs/>
        </w:rPr>
        <w:t xml:space="preserve">経理財務（基本パッケージ）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担当領域：固定資産管理(取得・除却・減価償却・減損テスト・実物照合)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現状課題：固定資産台帳と実物の照合が年1回手作業で、技術陳腐化による減損兆候の把握が遅い。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システム化後：資産取得を購買連携で自動計上→償却自動計算(会計・税務複数帳簿)→QR/RFIDタグで実地棚卸→台帳と実物を自動突合→減損兆候指標をBIで監視→減損テスト計算を半自動化。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想定ツール・AI：ERP(固定資産)、RFID/QR棚卸アプリ、BI(減損兆候モニタ)、減損計算支援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KPI・効果：台帳実物一致率、減損兆候検知リードタイム、設備投資額(予実)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内部統制との整合：固定資産管理台帳実物照合、除却承認統制、減損見積りの根拠保管</w:t>
      </w:r>
    </w:p>
    <w:p>
      <w:pPr>
        <w:pStyle w:val="Heading3"/>
        <w:spacing w:after="60" w:before="200"/>
      </w:pPr>
      <w:r>
        <w:rPr>
          <w:rFonts w:ascii="Yu Gothic" w:cs="Yu Gothic" w:eastAsia="Yu Gothic" w:hAnsi="Yu Gothic"/>
          <w:b/>
          <w:bCs/>
        </w:rPr>
        <w:t xml:space="preserve">経理財務（個別対応）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担当領域：収益認識(出荷基準・完成品引渡)・売掛・債権管理、製品保証引当金見積り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現状課題：製品保証引当金が過去実績の概算で根拠が薄い。出荷データと売上計上のタイミング差異の検証が手薄。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システム化後：出荷実績(WMS)→売上自動計上(引渡時点)→売掛自動計上・入金消込→販売台数×予想クレーム率で保証引当金をAIが自動試算→根拠データを証跡保存。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想定ツール・AI：ERP(販売/債権)、WMS連携、AI見積りモデル(クレーム率)、BI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KPI・効果：収益認識タイミング適正率、保証引当金見積り精度(実績乖離)、売掛回転日数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内部統制との整合：収益認識基準準拠、引当金見積りプロセス統制、出荷-売上カットオフ統制</w:t>
      </w:r>
    </w:p>
    <w:p>
      <w:pPr>
        <w:pStyle w:val="Heading3"/>
        <w:spacing w:after="60" w:before="200"/>
      </w:pPr>
      <w:r>
        <w:rPr>
          <w:rFonts w:ascii="Yu Gothic" w:cs="Yu Gothic" w:eastAsia="Yu Gothic" w:hAnsi="Yu Gothic"/>
          <w:b/>
          <w:bCs/>
        </w:rPr>
        <w:t xml:space="preserve">経理財務（将来構想）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担当領域：連結決算・機能通貨/外貨取引・為替管理・IFRS対応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現状課題：海外子会社の通貨換算と連結消去が手作業で時間。為替変動の損益影響把握が遅い。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システム化後：子会社データを統一フォーマットで自動収集→機能通貨換算自動化→連結仕訳・内部取引消去を自動処理→為替感応度をBIで可視化。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想定ツール・AI：連結会計システム、ERP多通貨機能、BI(為替ダッシュボード)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KPI・効果：連結決算リードタイム、為替差損益、内部取引消去自動化率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内部統制との整合：連結・機能通貨統一化統制、外貨換算ロジックの変更管理、IFRS/国際基準準拠</w:t>
      </w:r>
    </w:p>
    <w:p>
      <w:pPr>
        <w:pStyle w:val="Heading3"/>
        <w:spacing w:after="60" w:before="200"/>
      </w:pPr>
      <w:r>
        <w:rPr>
          <w:rFonts w:ascii="Yu Gothic" w:cs="Yu Gothic" w:eastAsia="Yu Gothic" w:hAnsi="Yu Gothic"/>
          <w:b/>
          <w:bCs/>
        </w:rPr>
        <w:t xml:space="preserve">税務（個別対応）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担当領域：法人税・消費税申告、税効果会計、グリーン税制・研究開発税制対応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現状課題：税効果の一時差異集計が手作業で、グリーン税制・R&amp;D税制の適用漏れリスク。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システム化後：ERP会計データから一時差異を自動抽出→税効果計算→申告ソフト連携→税制優遇(グリーン/R&amp;D)の対象投資を自動フラグ付け→適用判定を支援。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想定ツール・AI：税務申告ソフト、ERP連携、税効果計算ツール、AI税制判定支援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KPI・効果：申告期限遵守率、税制優遇適用額、税効果計算リードタイム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内部統制との整合：税金計算の正確性統制、一時差異管理、税制適用判定の証跡</w:t>
      </w:r>
    </w:p>
    <w:p>
      <w:pPr>
        <w:pStyle w:val="Heading3"/>
        <w:spacing w:after="60" w:before="200"/>
      </w:pPr>
      <w:r>
        <w:rPr>
          <w:rFonts w:ascii="Yu Gothic" w:cs="Yu Gothic" w:eastAsia="Yu Gothic" w:hAnsi="Yu Gothic"/>
          <w:b/>
          <w:bCs/>
        </w:rPr>
        <w:t xml:space="preserve">労務人事（基本パッケージ）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担当領域：勤怠・給与・社会保険・労務費の原価連携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現状課題：製造現場の工数が原価計算に手入力で連携され、労務費配賦の精度が低い。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システム化後：勤怠システムで工程別工数を記録→給与計算自動化→労務費を製造指図へ自動配賦→社会保険手続を電子申請(e-Gov)連携。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想定ツール・AI：勤怠管理システム、給与計算ソフト、e-Gov API、ERP原価連携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KPI・効果：給与計算工数、工数-原価連携自動化率、労務費配賦精度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内部統制との整合：給与計算の承認統制、工数入力の牽制、労務費配賦の正確性</w:t>
      </w:r>
    </w:p>
    <w:p>
      <w:pPr>
        <w:pStyle w:val="Heading3"/>
        <w:spacing w:after="60" w:before="200"/>
      </w:pPr>
      <w:r>
        <w:rPr>
          <w:rFonts w:ascii="Yu Gothic" w:cs="Yu Gothic" w:eastAsia="Yu Gothic" w:hAnsi="Yu Gothic"/>
          <w:b/>
          <w:bCs/>
        </w:rPr>
        <w:t xml:space="preserve">法務（個別対応）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担当領域：契約管理・コンプライアンス(カルテル/不正競争・紛争鉱物・リコール/求償)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現状課題：契約書が分散管理で期限・リスク条項の把握が困難。紛争鉱物調査が手作業。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システム化後：契約をCLMで一元管理→AIが重要条項・期限を抽出→アラート通知→サプライヤーの紛争鉱物情報を調査ワークフローで収集・記録→リコール/求償案件を起票管理。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想定ツール・AI：CLM(契約ライフサイクル管理)、AI契約レビュー、紛争鉱物調査ツール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KPI・効果：契約更新漏れ件数、紛争鉱物調査完了率、コンプライアンス研修受講率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内部統制との整合：契約承認権限統制、重要契約の開示連携、不正競争防止のモニタリング</w:t>
      </w:r>
    </w:p>
    <w:p>
      <w:pPr>
        <w:pStyle w:val="Heading3"/>
        <w:spacing w:after="60" w:before="200"/>
      </w:pPr>
      <w:r>
        <w:rPr>
          <w:rFonts w:ascii="Yu Gothic" w:cs="Yu Gothic" w:eastAsia="Yu Gothic" w:hAnsi="Yu Gothic"/>
          <w:b/>
          <w:bCs/>
        </w:rPr>
        <w:t xml:space="preserve">総務（将来構想）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担当領域：購買間接材・固定資産物品管理・文書管理・環境規制対応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現状課題：間接材購買が部門ごとにバラバラで統制が効かない。環境規制対応コストの集計が手作業。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システム化後：間接材購買を統合カタログ・ワークフローに集約→ERP連携→環境規制(騒音・排出ガス・グリーン)対応コストを科目タグで自動集計→文書を電子管理。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想定ツール・AI：購買管理システム、文書管理システム、ERP連携、環境コスト集計BI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KPI・効果：間接材購買統制率、環境対応コスト可視化率、文書電子化率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内部統制との整合：間接材発注権限分離、環境規制対応の証跡管理</w:t>
      </w:r>
    </w:p>
    <w:p>
      <w:pPr>
        <w:pStyle w:val="Heading3"/>
        <w:spacing w:after="60" w:before="200"/>
      </w:pPr>
      <w:r>
        <w:rPr>
          <w:rFonts w:ascii="Yu Gothic" w:cs="Yu Gothic" w:eastAsia="Yu Gothic" w:hAnsi="Yu Gothic"/>
          <w:b/>
          <w:bCs/>
        </w:rPr>
        <w:t xml:space="preserve">経営企画（将来構想）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担当領域：予実管理・セグメント別収益分析・設備投資計画・KPIモニタリング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現状課題：予実差異分析が月次後手で、地域別セグメント情報の集計に時間。投資判断のデータが分散。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システム化後：ERP/原価/販売データをBIに統合→予実差異・セグメント別収益・在庫回転を自動可視化→設備投資ROIをシミュレーション→経営会議用レポート自動生成。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想定ツール・AI：BI/CPMツール、ERP連携、AI予測分析、シナリオシミュレーション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KPI・効果：営業利益率、ROA、研究開発費(売上%)、セグメント別収益、予実差異率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内部統制との整合：経営報告データの整合性統制、予算承認プロセス、KPI算定ロジック管理</w:t>
      </w:r>
    </w:p>
    <w:p>
      <w:pPr>
        <w:pStyle w:val="Heading1"/>
        <w:spacing w:after="80" w:before="280"/>
      </w:pPr>
      <w:r>
        <w:rPr>
          <w:rFonts w:ascii="Yu Gothic" w:cs="Yu Gothic" w:eastAsia="Yu Gothic" w:hAnsi="Yu Gothic"/>
          <w:b/>
          <w:bCs/>
        </w:rPr>
        <w:t xml:space="preserve">2. 月次決算の自動化フロー</w:t>
      </w:r>
    </w:p>
    <w:tbl>
      <w:tblPr>
        <w:tblW w:type="pct" w:w="100%"/>
        <w:tblBorders>
          <w:top w:val="single" w:color="CFC6B0" w:sz="3"/>
          <w:left w:val="single" w:color="CFC6B0" w:sz="3"/>
          <w:bottom w:val="single" w:color="CFC6B0" w:sz="3"/>
          <w:right w:val="single" w:color="CFC6B0" w:sz="3"/>
          <w:insideH w:val="single" w:color="CFC6B0" w:sz="3"/>
          <w:insideV w:val="single" w:color="CFC6B0" w:sz="3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6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5"/>
                <w:szCs w:val="15"/>
              </w:rPr>
              <w:t xml:space="preserve">タイミング</w:t>
            </w:r>
          </w:p>
        </w:tc>
        <w:tc>
          <w:tcPr>
            <w:tcW w:type="pct" w:w="34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5"/>
                <w:szCs w:val="15"/>
              </w:rPr>
              <w:t xml:space="preserve">タスク</w:t>
            </w:r>
          </w:p>
        </w:tc>
        <w:tc>
          <w:tcPr>
            <w:tcW w:type="pct" w:w="14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5"/>
                <w:szCs w:val="15"/>
              </w:rPr>
              <w:t xml:space="preserve">担当</w:t>
            </w:r>
          </w:p>
        </w:tc>
        <w:tc>
          <w:tcPr>
            <w:tcW w:type="pct" w:w="22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5"/>
                <w:szCs w:val="15"/>
              </w:rPr>
              <w:t xml:space="preserve">自動化・AI</w:t>
            </w:r>
          </w:p>
        </w:tc>
        <w:tc>
          <w:tcPr>
            <w:tcW w:type="pct" w:w="14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5"/>
                <w:szCs w:val="15"/>
              </w:rPr>
              <w:t xml:space="preserve">アウトプット</w:t>
            </w:r>
          </w:p>
        </w:tc>
      </w:tr>
      <w:tr>
        <w:tc>
          <w:tcPr>
            <w:tcW w:type="pct" w:w="16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月末締め前(▲3営業日)</w:t>
            </w:r>
          </w:p>
        </w:tc>
        <w:tc>
          <w:tcPr>
            <w:tcW w:type="pct" w:w="3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在庫実地棚卸・固定資産実物照合の事前準備、未処理発注/検収の洗い出し</w:t>
            </w:r>
          </w:p>
        </w:tc>
        <w:tc>
          <w:tcPr>
            <w:tcW w:type="pct" w:w="1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経理財務・総務</w:t>
            </w:r>
          </w:p>
        </w:tc>
        <w:tc>
          <w:tcPr>
            <w:tcW w:type="pct" w:w="22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WMS/RFIDで在庫・資産を自動カウント、ERPで未消込PO自動リスト化</w:t>
            </w:r>
          </w:p>
        </w:tc>
        <w:tc>
          <w:tcPr>
            <w:tcW w:type="pct" w:w="1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棚卸差異リスト、未処理取引一覧</w:t>
            </w:r>
          </w:p>
        </w:tc>
      </w:tr>
      <w:tr>
        <w:tc>
          <w:tcPr>
            <w:tcW w:type="pct" w:w="16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月末当日</w:t>
            </w:r>
          </w:p>
        </w:tc>
        <w:tc>
          <w:tcPr>
            <w:tcW w:type="pct" w:w="3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売上カットオフ(出荷基準)確定、買掛/売掛締め、外貨取引換算</w:t>
            </w:r>
          </w:p>
        </w:tc>
        <w:tc>
          <w:tcPr>
            <w:tcW w:type="pct" w:w="1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経理財務</w:t>
            </w:r>
          </w:p>
        </w:tc>
        <w:tc>
          <w:tcPr>
            <w:tcW w:type="pct" w:w="22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WMS出荷データから売上自動計上、多通貨自動換算、AI-OCR請求書取込</w:t>
            </w:r>
          </w:p>
        </w:tc>
        <w:tc>
          <w:tcPr>
            <w:tcW w:type="pct" w:w="1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売上・債権債務確定データ</w:t>
            </w:r>
          </w:p>
        </w:tc>
      </w:tr>
      <w:tr>
        <w:tc>
          <w:tcPr>
            <w:tcW w:type="pct" w:w="16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第1営業日</w:t>
            </w:r>
          </w:p>
        </w:tc>
        <w:tc>
          <w:tcPr>
            <w:tcW w:type="pct" w:w="3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原価実績取込・標準原価差異計算、労務費/経費配賦</w:t>
            </w:r>
          </w:p>
        </w:tc>
        <w:tc>
          <w:tcPr>
            <w:tcW w:type="pct" w:w="1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経理財務・労務人事</w:t>
            </w:r>
          </w:p>
        </w:tc>
        <w:tc>
          <w:tcPr>
            <w:tcW w:type="pct" w:w="22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MES実績とERPで差異自動計算、工数データから労務費自動配賦</w:t>
            </w:r>
          </w:p>
        </w:tc>
        <w:tc>
          <w:tcPr>
            <w:tcW w:type="pct" w:w="1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原価差異レポート、製造原価明細</w:t>
            </w:r>
          </w:p>
        </w:tc>
      </w:tr>
      <w:tr>
        <w:tc>
          <w:tcPr>
            <w:tcW w:type="pct" w:w="16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第2営業日</w:t>
            </w:r>
          </w:p>
        </w:tc>
        <w:tc>
          <w:tcPr>
            <w:tcW w:type="pct" w:w="3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引当金計上(製品保証)、減価償却、減損兆候チェック、税効果一時差異集計</w:t>
            </w:r>
          </w:p>
        </w:tc>
        <w:tc>
          <w:tcPr>
            <w:tcW w:type="pct" w:w="1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経理財務・税務</w:t>
            </w:r>
          </w:p>
        </w:tc>
        <w:tc>
          <w:tcPr>
            <w:tcW w:type="pct" w:w="22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AIが販売台数×クレーム率で保証引当試算、償却自動計算、減損兆候BI監視</w:t>
            </w:r>
          </w:p>
        </w:tc>
        <w:tc>
          <w:tcPr>
            <w:tcW w:type="pct" w:w="1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引当金計上仕訳、減損兆候レポート</w:t>
            </w:r>
          </w:p>
        </w:tc>
      </w:tr>
      <w:tr>
        <w:tc>
          <w:tcPr>
            <w:tcW w:type="pct" w:w="16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第3営業日</w:t>
            </w:r>
          </w:p>
        </w:tc>
        <w:tc>
          <w:tcPr>
            <w:tcW w:type="pct" w:w="3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試算表確定・連結消去・セグメント集計・予実差異分析</w:t>
            </w:r>
          </w:p>
        </w:tc>
        <w:tc>
          <w:tcPr>
            <w:tcW w:type="pct" w:w="1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経理財務・経営企画</w:t>
            </w:r>
          </w:p>
        </w:tc>
        <w:tc>
          <w:tcPr>
            <w:tcW w:type="pct" w:w="22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連結仕訳/内部取引消去自動化、BIで予実・セグメント自動集計</w:t>
            </w:r>
          </w:p>
        </w:tc>
        <w:tc>
          <w:tcPr>
            <w:tcW w:type="pct" w:w="1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月次財務諸表、経営会議レポート、KPIダッシュボード</w:t>
            </w:r>
          </w:p>
        </w:tc>
      </w:tr>
      <w:tr>
        <w:tc>
          <w:tcPr>
            <w:tcW w:type="pct" w:w="16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第3営業日(レビュー)</w:t>
            </w:r>
          </w:p>
        </w:tc>
        <w:tc>
          <w:tcPr>
            <w:tcW w:type="pct" w:w="3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会計士レビュー・異常値AI検知の確認・開示連携データ整備</w:t>
            </w:r>
          </w:p>
        </w:tc>
        <w:tc>
          <w:tcPr>
            <w:tcW w:type="pct" w:w="1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経理財務・会計士</w:t>
            </w:r>
          </w:p>
        </w:tc>
        <w:tc>
          <w:tcPr>
            <w:tcW w:type="pct" w:w="22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AIが仕訳異常値・差異要因を一次ドラフト化、証跡を自動紐付け</w:t>
            </w:r>
          </w:p>
        </w:tc>
        <w:tc>
          <w:tcPr>
            <w:tcW w:type="pct" w:w="1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レビュー済決算、監査証跡パッケージ</w:t>
            </w:r>
          </w:p>
        </w:tc>
      </w:tr>
    </w:tbl>
    <w:p>
      <w:pPr>
        <w:pStyle w:val="Heading1"/>
        <w:spacing w:after="80" w:before="280"/>
      </w:pPr>
      <w:r>
        <w:rPr>
          <w:rFonts w:ascii="Yu Gothic" w:cs="Yu Gothic" w:eastAsia="Yu Gothic" w:hAnsi="Yu Gothic"/>
          <w:b/>
          <w:bCs/>
        </w:rPr>
        <w:t xml:space="preserve">3. 段階展開ロードマップ</w:t>
      </w:r>
    </w:p>
    <w:tbl>
      <w:tblPr>
        <w:tblW w:type="pct" w:w="100%"/>
        <w:tblBorders>
          <w:top w:val="single" w:color="CFC6B0" w:sz="3"/>
          <w:left w:val="single" w:color="CFC6B0" w:sz="3"/>
          <w:bottom w:val="single" w:color="CFC6B0" w:sz="3"/>
          <w:right w:val="single" w:color="CFC6B0" w:sz="3"/>
          <w:insideH w:val="single" w:color="CFC6B0" w:sz="3"/>
          <w:insideV w:val="single" w:color="CFC6B0" w:sz="3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8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5"/>
                <w:szCs w:val="15"/>
              </w:rPr>
              <w:t xml:space="preserve">フェーズ</w:t>
            </w:r>
          </w:p>
        </w:tc>
        <w:tc>
          <w:tcPr>
            <w:tcW w:type="pct" w:w="24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5"/>
                <w:szCs w:val="15"/>
              </w:rPr>
              <w:t xml:space="preserve">テーマ</w:t>
            </w:r>
          </w:p>
        </w:tc>
        <w:tc>
          <w:tcPr>
            <w:tcW w:type="pct" w:w="40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5"/>
                <w:szCs w:val="15"/>
              </w:rPr>
              <w:t xml:space="preserve">主な提供物</w:t>
            </w:r>
          </w:p>
        </w:tc>
        <w:tc>
          <w:tcPr>
            <w:tcW w:type="pct" w:w="18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5"/>
                <w:szCs w:val="15"/>
              </w:rPr>
              <w:t xml:space="preserve">マイルストーン</w:t>
            </w:r>
          </w:p>
        </w:tc>
      </w:tr>
      <w:tr>
        <w:tc>
          <w:tcPr>
            <w:tcW w:type="pct" w:w="1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フェーズ1(0-6ヶ月)</w:t>
            </w:r>
          </w:p>
        </w:tc>
        <w:tc>
          <w:tcPr>
            <w:tcW w:type="pct" w:w="2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基幹4業務のERP統合と統制基盤整備</w:t>
            </w:r>
          </w:p>
        </w:tc>
        <w:tc>
          <w:tcPr>
            <w:tcW w:type="pct" w:w="40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・購買P2Pワークフロー・三点照合自動化
・在庫管理(WMS)とERP連携
・固定資産台帳のRFID実物照合
・標準原価計算モジュールの本稼働
・職務分離マトリクス・権限設計</w:t>
            </w:r>
          </w:p>
        </w:tc>
        <w:tc>
          <w:tcPr>
            <w:tcW w:type="pct" w:w="1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購買・在庫・原価・固定資産の主要統制が稼働し、原価差異が月次で可視化</w:t>
            </w:r>
          </w:p>
        </w:tc>
      </w:tr>
      <w:tr>
        <w:tc>
          <w:tcPr>
            <w:tcW w:type="pct" w:w="1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フェーズ2(6-12ヶ月)</w:t>
            </w:r>
          </w:p>
        </w:tc>
        <w:tc>
          <w:tcPr>
            <w:tcW w:type="pct" w:w="2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月次決算自動化と見積りプロセス高度化</w:t>
            </w:r>
          </w:p>
        </w:tc>
        <w:tc>
          <w:tcPr>
            <w:tcW w:type="pct" w:w="40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・AI-OCR/RPAによる証憑処理自動化
・製品保証引当金のAI見積りモデル
・勤怠-労務費の原価自動配賦
・税効果・税制優遇の自動判定
・BIによる予実・セグメント可視化</w:t>
            </w:r>
          </w:p>
        </w:tc>
        <w:tc>
          <w:tcPr>
            <w:tcW w:type="pct" w:w="1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月次決算を営業日3日で締結、見積り根拠の証跡化を実現</w:t>
            </w:r>
          </w:p>
        </w:tc>
      </w:tr>
      <w:tr>
        <w:tc>
          <w:tcPr>
            <w:tcW w:type="pct" w:w="1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フェーズ3(12-24ヶ月)</w:t>
            </w:r>
          </w:p>
        </w:tc>
        <w:tc>
          <w:tcPr>
            <w:tcW w:type="pct" w:w="2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連結・グローバル統合とリスクモニタリング</w:t>
            </w:r>
          </w:p>
        </w:tc>
        <w:tc>
          <w:tcPr>
            <w:tcW w:type="pct" w:w="40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・連結会計システム・機能通貨統一
・IFRS/国際基準対応
・為替・調達リスクのリアルタイム監視
・CLM・紛争鉱物・コンプライアンス統合
・間接材購買・環境コスト統合管理</w:t>
            </w:r>
          </w:p>
        </w:tc>
        <w:tc>
          <w:tcPr>
            <w:tcW w:type="pct" w:w="1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連結月次決算の自動化とグループ統制の標準化</w:t>
            </w:r>
          </w:p>
        </w:tc>
      </w:tr>
      <w:tr>
        <w:tc>
          <w:tcPr>
            <w:tcW w:type="pct" w:w="1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フェーズ4(24ヶ月-)</w:t>
            </w:r>
          </w:p>
        </w:tc>
        <w:tc>
          <w:tcPr>
            <w:tcW w:type="pct" w:w="2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予測経営とAI高度活用</w:t>
            </w:r>
          </w:p>
        </w:tc>
        <w:tc>
          <w:tcPr>
            <w:tcW w:type="pct" w:w="40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・AI需要予測連動の在庫/原価最適化
・設備投資ROIシミュレーション
・異常検知AIによる不正/誤謬の自動検出
・月次決算1日締めの実現</w:t>
            </w:r>
          </w:p>
        </w:tc>
        <w:tc>
          <w:tcPr>
            <w:tcW w:type="pct" w:w="1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5"/>
                <w:szCs w:val="15"/>
              </w:rPr>
              <w:t xml:space="preserve">データドリブン経営とリアルタイム・クローズの確立</w:t>
            </w:r>
          </w:p>
        </w:tc>
      </w:tr>
    </w:tbl>
    <w:p>
      <w:pPr>
        <w:pStyle w:val="Heading1"/>
        <w:spacing w:after="80" w:before="280"/>
      </w:pPr>
      <w:r>
        <w:rPr>
          <w:rFonts w:ascii="Yu Gothic" w:cs="Yu Gothic" w:eastAsia="Yu Gothic" w:hAnsi="Yu Gothic"/>
          <w:b/>
          <w:bCs/>
        </w:rPr>
        <w:t xml:space="preserve">4. 総合所見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20"/>
          <w:szCs w:val="20"/>
        </w:rPr>
        <w:t xml:space="preserve">本ドラフトは製造業特有の標準原価計算・在庫評価・製品保証引当金・固定資産減損・連結/外貨統一を軸に、購買から開示までをERPで統合し月次決算自動化と内部統制(J-SOX/ICFR)を両立させる設計である。フェーズ1で基幹4業務と職務分離を固め、フェーズ2で月次3日締めと見積り高度化、フェーズ3でグローバル連結とリスク監視、フェーズ4で予測経営へ段階展開する。原価差異・保証引当・減損見積り・収益認識カットオフは会計上の重要判断を伴うため、AIによる一次ドラフトを前提に会計士レビューで品質担保することを推奨する。導入順序・配賦ロジック・見積り前提の妥当性、電子帳簿保存法/収益認識基準準拠については監査人との事前協議を要する。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Yu Gothic" w:cs="Yu Gothic" w:eastAsia="Yu Gothic" w:hAnsi="Yu Gothic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サンプル製造株式会社 管理部統合パッケージ</dc:title>
  <dc:creator>BENTO — 会計士 × AI</dc:creator>
  <cp:lastModifiedBy>Un-named</cp:lastModifiedBy>
  <cp:revision>1</cp:revision>
  <dcterms:created xsi:type="dcterms:W3CDTF">2026-07-03T07:33:37.352Z</dcterms:created>
  <dcterms:modified xsi:type="dcterms:W3CDTF">2026-07-03T07:33:37.352Z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