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rFonts w:ascii="Yu Gothic" w:cs="Yu Gothic" w:eastAsia="Yu Gothic" w:hAnsi="Yu Gothic"/>
          <w:b/>
          <w:bCs/>
          <w:sz w:val="32"/>
          <w:szCs w:val="32"/>
        </w:rPr>
        <w:t xml:space="preserve">業務記述書</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18%"/>
            <w:shd w:fill="E8EEF7" w:color="E8EEF7" w:val="solid"/>
          </w:tcPr>
          <w:p>
            <w:r>
              <w:rPr>
                <w:rFonts w:ascii="Yu Gothic" w:cs="Yu Gothic" w:eastAsia="Yu Gothic" w:hAnsi="Yu Gothic"/>
                <w:b/>
                <w:bCs/>
                <w:sz w:val="17"/>
                <w:szCs w:val="17"/>
              </w:rPr>
              <w:t xml:space="preserve">会社名</w:t>
            </w:r>
          </w:p>
        </w:tc>
        <w:tc>
          <w:tcPr>
            <w:tcW w:type="pct" w:w="32%"/>
          </w:tcPr>
          <w:p>
            <w:r>
              <w:rPr>
                <w:rFonts w:ascii="Yu Gothic" w:cs="Yu Gothic" w:eastAsia="Yu Gothic" w:hAnsi="Yu Gothic"/>
                <w:sz w:val="17"/>
                <w:szCs w:val="17"/>
              </w:rPr>
              <w:t xml:space="preserve">サンプル暗号資産交換株式会社</w:t>
            </w:r>
          </w:p>
        </w:tc>
        <w:tc>
          <w:tcPr>
            <w:tcW w:type="pct" w:w="18%"/>
            <w:shd w:fill="E8EEF7" w:color="E8EEF7" w:val="solid"/>
          </w:tcPr>
          <w:p>
            <w:r>
              <w:rPr>
                <w:rFonts w:ascii="Yu Gothic" w:cs="Yu Gothic" w:eastAsia="Yu Gothic" w:hAnsi="Yu Gothic"/>
                <w:b/>
                <w:bCs/>
                <w:sz w:val="17"/>
                <w:szCs w:val="17"/>
              </w:rPr>
              <w:t xml:space="preserve">決算期</w:t>
            </w:r>
          </w:p>
        </w:tc>
        <w:tc>
          <w:tcPr>
            <w:tcW w:type="pct" w:w="32%"/>
          </w:tcPr>
          <w:p>
            <w:r>
              <w:rPr>
                <w:rFonts w:ascii="Yu Gothic" w:cs="Yu Gothic" w:eastAsia="Yu Gothic" w:hAnsi="Yu Gothic"/>
                <w:sz w:val="17"/>
                <w:szCs w:val="17"/>
              </w:rPr>
              <w:t xml:space="preserve">第3期（2026年3月期）</w:t>
            </w:r>
          </w:p>
        </w:tc>
      </w:tr>
      <w:tr>
        <w:tc>
          <w:tcPr>
            <w:tcW w:type="pct" w:w="18%"/>
            <w:shd w:fill="E8EEF7" w:color="E8EEF7" w:val="solid"/>
          </w:tcPr>
          <w:p>
            <w:r>
              <w:rPr>
                <w:rFonts w:ascii="Yu Gothic" w:cs="Yu Gothic" w:eastAsia="Yu Gothic" w:hAnsi="Yu Gothic"/>
                <w:b/>
                <w:bCs/>
                <w:sz w:val="17"/>
                <w:szCs w:val="17"/>
              </w:rPr>
              <w:t xml:space="preserve">プロセス名</w:t>
            </w:r>
          </w:p>
        </w:tc>
        <w:tc>
          <w:tcPr>
            <w:tcW w:type="pct" w:w="32%"/>
          </w:tcPr>
          <w:p>
            <w:r>
              <w:rPr>
                <w:rFonts w:ascii="Yu Gothic" w:cs="Yu Gothic" w:eastAsia="Yu Gothic" w:hAnsi="Yu Gothic"/>
                <w:sz w:val="17"/>
                <w:szCs w:val="17"/>
              </w:rPr>
              <w:t xml:space="preserve">取引執行プロセス（現物：販売所・取引所）</w:t>
            </w:r>
          </w:p>
        </w:tc>
        <w:tc>
          <w:tcPr>
            <w:tcW w:type="pct" w:w="18%"/>
            <w:shd w:fill="E8EEF7" w:color="E8EEF7" w:val="solid"/>
          </w:tcPr>
          <w:p>
            <w:r>
              <w:rPr>
                <w:rFonts w:ascii="Yu Gothic" w:cs="Yu Gothic" w:eastAsia="Yu Gothic" w:hAnsi="Yu Gothic"/>
                <w:b/>
                <w:bCs/>
                <w:sz w:val="17"/>
                <w:szCs w:val="17"/>
              </w:rPr>
              <w:t xml:space="preserve">プロセスNo.</w:t>
            </w:r>
          </w:p>
        </w:tc>
        <w:tc>
          <w:tcPr>
            <w:tcW w:type="pct" w:w="32%"/>
          </w:tcPr>
          <w:p>
            <w:r>
              <w:rPr>
                <w:rFonts w:ascii="Yu Gothic" w:cs="Yu Gothic" w:eastAsia="Yu Gothic" w:hAnsi="Yu Gothic"/>
                <w:sz w:val="17"/>
                <w:szCs w:val="17"/>
              </w:rPr>
              <w:t xml:space="preserve">P203-01</w:t>
            </w:r>
          </w:p>
        </w:tc>
      </w:tr>
      <w:tr>
        <w:tc>
          <w:tcPr>
            <w:tcW w:type="pct" w:w="18%"/>
            <w:shd w:fill="E8EEF7" w:color="E8EEF7" w:val="solid"/>
          </w:tcPr>
          <w:p>
            <w:r>
              <w:rPr>
                <w:rFonts w:ascii="Yu Gothic" w:cs="Yu Gothic" w:eastAsia="Yu Gothic" w:hAnsi="Yu Gothic"/>
                <w:b/>
                <w:bCs/>
                <w:sz w:val="17"/>
                <w:szCs w:val="17"/>
              </w:rPr>
              <w:t xml:space="preserve">勘定科目</w:t>
            </w:r>
          </w:p>
        </w:tc>
        <w:tc>
          <w:tcPr>
            <w:tcW w:type="pct" w:w="32%"/>
          </w:tcPr>
          <w:p>
            <w:r>
              <w:rPr>
                <w:rFonts w:ascii="Yu Gothic" w:cs="Yu Gothic" w:eastAsia="Yu Gothic" w:hAnsi="Yu Gothic"/>
                <w:sz w:val="17"/>
                <w:szCs w:val="17"/>
              </w:rPr>
              <w:t xml:space="preserve">手数料収入、スプレッド収益、暗号資産売買損益、預り暗号資産、利用者区分管理金銭、利用者暗号資産</w:t>
            </w:r>
          </w:p>
        </w:tc>
        <w:tc>
          <w:tcPr>
            <w:tcW w:type="pct" w:w="18%"/>
            <w:shd w:fill="E8EEF7" w:color="E8EEF7" w:val="solid"/>
          </w:tcPr>
          <w:p>
            <w:r>
              <w:rPr>
                <w:rFonts w:ascii="Yu Gothic" w:cs="Yu Gothic" w:eastAsia="Yu Gothic" w:hAnsi="Yu Gothic"/>
                <w:b/>
                <w:bCs/>
                <w:sz w:val="17"/>
                <w:szCs w:val="17"/>
              </w:rPr>
              <w:t xml:space="preserve">プロセスオーナー</w:t>
            </w:r>
          </w:p>
        </w:tc>
        <w:tc>
          <w:tcPr>
            <w:tcW w:type="pct" w:w="32%"/>
          </w:tcPr>
          <w:p>
            <w:r>
              <w:rPr>
                <w:rFonts w:ascii="Yu Gothic" w:cs="Yu Gothic" w:eastAsia="Yu Gothic" w:hAnsi="Yu Gothic"/>
                <w:sz w:val="17"/>
                <w:szCs w:val="17"/>
              </w:rPr>
              <w:t xml:space="preserve"/>
            </w:r>
          </w:p>
        </w:tc>
      </w:tr>
      <w:tr>
        <w:tc>
          <w:tcPr>
            <w:tcW w:type="pct" w:w="18%"/>
            <w:shd w:fill="E8EEF7" w:color="E8EEF7" w:val="solid"/>
          </w:tcPr>
          <w:p>
            <w:r>
              <w:rPr>
                <w:rFonts w:ascii="Yu Gothic" w:cs="Yu Gothic" w:eastAsia="Yu Gothic" w:hAnsi="Yu Gothic"/>
                <w:b/>
                <w:bCs/>
                <w:sz w:val="17"/>
                <w:szCs w:val="17"/>
              </w:rPr>
              <w:t xml:space="preserve">マネジメント・ユニット</w:t>
            </w:r>
          </w:p>
        </w:tc>
        <w:tc>
          <w:tcPr>
            <w:tcW w:type="pct" w:w="32%"/>
          </w:tcPr>
          <w:p>
            <w:r>
              <w:rPr>
                <w:rFonts w:ascii="Yu Gothic" w:cs="Yu Gothic" w:eastAsia="Yu Gothic" w:hAnsi="Yu Gothic"/>
                <w:sz w:val="17"/>
                <w:szCs w:val="17"/>
              </w:rPr>
              <w:t xml:space="preserve">本社</w:t>
            </w:r>
          </w:p>
        </w:tc>
        <w:tc>
          <w:tcPr>
            <w:tcW w:type="pct" w:w="18%"/>
            <w:shd w:fill="E8EEF7" w:color="E8EEF7" w:val="solid"/>
          </w:tcPr>
          <w:p>
            <w:r>
              <w:rPr>
                <w:rFonts w:ascii="Yu Gothic" w:cs="Yu Gothic" w:eastAsia="Yu Gothic" w:hAnsi="Yu Gothic"/>
                <w:b/>
                <w:bCs/>
                <w:sz w:val="17"/>
                <w:szCs w:val="17"/>
              </w:rPr>
              <w:t xml:space="preserve">作成者／作成日</w:t>
            </w:r>
          </w:p>
        </w:tc>
        <w:tc>
          <w:tcPr>
            <w:tcW w:type="pct" w:w="32%"/>
          </w:tcPr>
          <w:p>
            <w:r>
              <w:rPr>
                <w:rFonts w:ascii="Yu Gothic" w:cs="Yu Gothic" w:eastAsia="Yu Gothic" w:hAnsi="Yu Gothic"/>
                <w:sz w:val="17"/>
                <w:szCs w:val="17"/>
              </w:rPr>
              <w:t xml:space="preserve">内部統制PJ／2026-06-23</w:t>
            </w:r>
          </w:p>
        </w:tc>
      </w:tr>
      <w:tr>
        <w:tc>
          <w:tcPr>
            <w:tcW w:type="pct" w:w="18%"/>
            <w:shd w:fill="E8EEF7" w:color="E8EEF7" w:val="solid"/>
          </w:tcPr>
          <w:p>
            <w:r>
              <w:rPr>
                <w:rFonts w:ascii="Yu Gothic" w:cs="Yu Gothic" w:eastAsia="Yu Gothic" w:hAnsi="Yu Gothic"/>
                <w:b/>
                <w:bCs/>
                <w:sz w:val="17"/>
                <w:szCs w:val="17"/>
              </w:rPr>
              <w:t xml:space="preserve">レビュー者</w:t>
            </w:r>
          </w:p>
        </w:tc>
        <w:tc>
          <w:tcPr>
            <w:tcW w:type="pct" w:w="32%"/>
          </w:tcPr>
          <w:p>
            <w:r>
              <w:rPr>
                <w:rFonts w:ascii="Yu Gothic" w:cs="Yu Gothic" w:eastAsia="Yu Gothic" w:hAnsi="Yu Gothic"/>
                <w:sz w:val="17"/>
                <w:szCs w:val="17"/>
              </w:rPr>
              <w:t xml:space="preserve"/>
            </w:r>
          </w:p>
        </w:tc>
        <w:tc>
          <w:tcPr>
            <w:tcW w:type="pct" w:w="18%"/>
            <w:shd w:fill="E8EEF7" w:color="E8EEF7" w:val="solid"/>
          </w:tcPr>
          <w:p>
            <w:r>
              <w:rPr>
                <w:rFonts w:ascii="Yu Gothic" w:cs="Yu Gothic" w:eastAsia="Yu Gothic" w:hAnsi="Yu Gothic"/>
                <w:b/>
                <w:bCs/>
                <w:sz w:val="17"/>
                <w:szCs w:val="17"/>
              </w:rPr>
              <w:t xml:space="preserve">承認者／承認日</w:t>
            </w:r>
          </w:p>
        </w:tc>
        <w:tc>
          <w:tcPr>
            <w:tcW w:type="pct" w:w="32%"/>
          </w:tcPr>
          <w:p>
            <w:r>
              <w:rPr>
                <w:rFonts w:ascii="Yu Gothic" w:cs="Yu Gothic" w:eastAsia="Yu Gothic" w:hAnsi="Yu Gothic"/>
                <w:sz w:val="17"/>
                <w:szCs w:val="17"/>
              </w:rPr>
              <w:t xml:space="preserve">内部統制統括責任者／2026-04-01</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注文受付・レート/スプレッド提示（販売所スプレッド／取引所板）（勘定科目：手数料収入、スプレッド収益、暗号資産売買損益、預り暗号資産、利用者区分管理金銭／所管：トレーディング部・取引管理課（プライシング担当） 兼 システム部）</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1. 顧客がアプリ/APIから販売所(成行)または取引所(指値/成行)の注文を入力し、取引システムが注文を受信する。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 取引システムが顧客管理システム(KYC)の口座状態・制裁/反社結果・取引制限と、利用者預り台帳の売付可能数量・買付余力を自動照会し受付可否を判定する（C3）。</w:t>
      </w:r>
      <w:r>
        <w:rPr>
          <w:rFonts w:ascii="Yu Gothic" w:cs="Yu Gothic" w:eastAsia="Yu Gothic" w:hAnsi="Yu Gothic"/>
          <w:b/>
          <w:bCs/>
          <w:color w:val="B85C00"/>
          <w:sz w:val="20"/>
          <w:szCs w:val="20"/>
        </w:rPr>
        <w:t xml:space="preserve">　◀ 統制 A-C3（S2）</w:t>
      </w:r>
    </w:p>
    <w:p>
      <w:r>
        <w:rPr>
          <w:rFonts w:ascii="Yu Gothic" w:cs="Yu Gothic" w:eastAsia="Yu Gothic" w:hAnsi="Yu Gothic"/>
          <w:sz w:val="20"/>
          <w:szCs w:val="20"/>
        </w:rPr>
        <w:t xml:space="preserve">3. 口座状態・残高・適合性のいずれかが不充足か判定する。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5. 注文種別が販売所(OTC・対当社)か取引所(板・顧客間/対当社)かを振り分ける。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6. プライシングエンジンが時価情報サービス(外部)の参照市場レートと流動性プロバイダ気配を取得する。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7. 承認済み料率マスタの基準スプレッド幅を適用してレートを算定し、参照ソース乖離・承認レンジ逸脱・ソース断絶を自動判定する（C1）。</w:t>
      </w:r>
      <w:r>
        <w:rPr>
          <w:rFonts w:ascii="Yu Gothic" w:cs="Yu Gothic" w:eastAsia="Yu Gothic" w:hAnsi="Yu Gothic"/>
          <w:b/>
          <w:bCs/>
          <w:color w:val="B85C00"/>
          <w:sz w:val="20"/>
          <w:szCs w:val="20"/>
        </w:rPr>
        <w:t xml:space="preserve">　◀ 統制 A-C1（S7）</w:t>
      </w:r>
    </w:p>
    <w:p>
      <w:r>
        <w:rPr>
          <w:rFonts w:ascii="Yu Gothic" w:cs="Yu Gothic" w:eastAsia="Yu Gothic" w:hAnsi="Yu Gothic"/>
          <w:sz w:val="20"/>
          <w:szCs w:val="20"/>
        </w:rPr>
        <w:t xml:space="preserve">8. 算定レートが承認レンジ内かつ参照ソースが正常かを判定する。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 取引所注文について、承認済み料率マスタ・銘柄マスタ（手数料率・最小単位・呼値刻み）を参照する（C2が維持）。</w:t>
      </w:r>
      <w:r>
        <w:rPr>
          <w:rFonts w:ascii="Yu Gothic" w:cs="Yu Gothic" w:eastAsia="Yu Gothic" w:hAnsi="Yu Gothic"/>
          <w:b/>
          <w:bCs/>
          <w:color w:val="B85C00"/>
          <w:sz w:val="20"/>
          <w:szCs w:val="20"/>
        </w:rPr>
        <w:t xml:space="preserve">　◀ 統制 A-C2（S10）</w:t>
      </w:r>
    </w:p>
    <w:p>
      <w:r>
        <w:rPr>
          <w:rFonts w:ascii="Yu Gothic" w:cs="Yu Gothic" w:eastAsia="Yu Gothic" w:hAnsi="Yu Gothic"/>
          <w:sz w:val="20"/>
          <w:szCs w:val="20"/>
        </w:rPr>
        <w:t xml:space="preserve">11. 適用料率の改定が必要かを判定する。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12. 起票担当の申請に対し料率責任者が改定理由・有効期日を確認し電子承認、システム部が反映後に一致検証する（C2）。</w:t>
      </w:r>
      <w:r>
        <w:rPr>
          <w:rFonts w:ascii="Yu Gothic" w:cs="Yu Gothic" w:eastAsia="Yu Gothic" w:hAnsi="Yu Gothic"/>
          <w:b/>
          <w:bCs/>
          <w:color w:val="B85C00"/>
          <w:sz w:val="20"/>
          <w:szCs w:val="20"/>
        </w:rPr>
        <w:t xml:space="preserve">　◀ 統制 A-C2（S12）</w:t>
      </w:r>
    </w:p>
    <w:p>
      <w:r>
        <w:rPr>
          <w:rFonts w:ascii="Yu Gothic" w:cs="Yu Gothic" w:eastAsia="Yu Gothic" w:hAnsi="Yu Gothic"/>
          <w:sz w:val="20"/>
          <w:szCs w:val="20"/>
        </w:rPr>
        <w:t xml:space="preserve">13. 受付確定した注文・提示レート・適用料率を約定エンジンへ引き渡し、サブプロセス2(約定・マッチング)へ連携する。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14. 注文受付・プライシング工程を完了する。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・受付要件未充足のため注文を自動拒否し、エラー理由を顧客へ返却。拒否ログを記録しコンプライアンス課の日次レビュー対象とする（C3・例外フロー）。</w:t>
      </w:r>
    </w:p>
    <w:p>
      <w:r>
        <w:rPr>
          <w:rFonts w:ascii="Yu Gothic" w:cs="Yu Gothic" w:eastAsia="Yu Gothic" w:hAnsi="Yu Gothic"/>
          <w:color w:val="555555"/>
          <w:sz w:val="20"/>
          <w:szCs w:val="20"/>
        </w:rPr>
        <w:t xml:space="preserve">・システムがレート提示を自動停止しアラート発報。プライシング担当が原因を究明し復旧・承認まで提示再開しない（C1・例外フロー）。</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・取引受付規程 第3条</w:t>
      </w:r>
    </w:p>
    <w:p>
      <w:r>
        <w:rPr>
          <w:rFonts w:ascii="Yu Gothic" w:cs="Yu Gothic" w:eastAsia="Yu Gothic" w:hAnsi="Yu Gothic"/>
          <w:sz w:val="20"/>
          <w:szCs w:val="20"/>
        </w:rPr>
        <w:t xml:space="preserve">・犯収法第4条</w:t>
      </w:r>
    </w:p>
    <w:p>
      <w:r>
        <w:rPr>
          <w:rFonts w:ascii="Yu Gothic" w:cs="Yu Gothic" w:eastAsia="Yu Gothic" w:hAnsi="Yu Gothic"/>
          <w:sz w:val="20"/>
          <w:szCs w:val="20"/>
        </w:rPr>
        <w:t xml:space="preserve">・プライシング規程 第3条</w:t>
      </w:r>
    </w:p>
    <w:p>
      <w:r>
        <w:rPr>
          <w:rFonts w:ascii="Yu Gothic" w:cs="Yu Gothic" w:eastAsia="Yu Gothic" w:hAnsi="Yu Gothic"/>
          <w:sz w:val="20"/>
          <w:szCs w:val="20"/>
        </w:rPr>
        <w:t xml:space="preserve">・最良執行方針 第4条</w:t>
      </w:r>
    </w:p>
    <w:p>
      <w:r>
        <w:rPr>
          <w:rFonts w:ascii="Yu Gothic" w:cs="Yu Gothic" w:eastAsia="Yu Gothic" w:hAnsi="Yu Gothic"/>
          <w:sz w:val="20"/>
          <w:szCs w:val="20"/>
        </w:rPr>
        <w:t xml:space="preserve">・料率マスタ運用手順書 SOP-TRD-003</w:t>
      </w:r>
    </w:p>
    <w:p>
      <w:r>
        <w:rPr>
          <w:rFonts w:ascii="Yu Gothic" w:cs="Yu Gothic" w:eastAsia="Yu Gothic" w:hAnsi="Yu Gothic"/>
          <w:sz w:val="20"/>
          <w:szCs w:val="20"/>
        </w:rPr>
        <w:t xml:space="preserve">・プライシング規程 第5条</w:t>
      </w:r>
    </w:p>
    <w:p>
      <w:r>
        <w:rPr>
          <w:rFonts w:ascii="Yu Gothic" w:cs="Yu Gothic" w:eastAsia="Yu Gothic" w:hAnsi="Yu Gothic"/>
          <w:sz w:val="20"/>
          <w:szCs w:val="20"/>
        </w:rPr>
        <w:t xml:space="preserve">・最良執行方針 第4条、プライシング規程 第3条（スプレッド承認レンジ）、最良執行義務（金融商品取引法移管見込・自主規制規則）</w:t>
      </w:r>
    </w:p>
    <w:p>
      <w:r>
        <w:rPr>
          <w:rFonts w:ascii="Yu Gothic" w:cs="Yu Gothic" w:eastAsia="Yu Gothic" w:hAnsi="Yu Gothic"/>
          <w:sz w:val="20"/>
          <w:szCs w:val="20"/>
        </w:rPr>
        <w:t xml:space="preserve">・プライシング規程 第5条、料率マスタ運用手順書 SOP-TRD-003</w:t>
      </w:r>
    </w:p>
    <w:p>
      <w:r>
        <w:rPr>
          <w:rFonts w:ascii="Yu Gothic" w:cs="Yu Gothic" w:eastAsia="Yu Gothic" w:hAnsi="Yu Gothic"/>
          <w:sz w:val="20"/>
          <w:szCs w:val="20"/>
        </w:rPr>
        <w:t xml:space="preserve">・取引受付規程 第3条、適合性原則（自主規制規則）、犯罪収益移転防止法第4条（取引時確認）</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A-C1</w:t>
            </w:r>
          </w:p>
          <w:p>
            <w:r>
              <w:rPr>
                <w:rFonts w:ascii="Yu Gothic" w:cs="Yu Gothic" w:eastAsia="Yu Gothic" w:hAnsi="Yu Gothic"/>
                <w:color w:val="888888"/>
                <w:sz w:val="17"/>
                <w:szCs w:val="17"/>
              </w:rPr>
              <w:t xml:space="preserve">FN-CTRL-042</w:t>
            </w:r>
          </w:p>
        </w:tc>
        <w:tc>
          <w:tcPr>
            <w:tcW w:type="pct" w:w="38%"/>
          </w:tcPr>
          <w:p>
            <w:r>
              <w:rPr>
                <w:rFonts w:ascii="Yu Gothic" w:cs="Yu Gothic" w:eastAsia="Yu Gothic" w:hAnsi="Yu Gothic"/>
                <w:b/>
                <w:bCs/>
                <w:color w:val="2B5797"/>
                <w:sz w:val="17"/>
                <w:szCs w:val="17"/>
              </w:rPr>
              <w:t xml:space="preserve">【目標】顧客へ提示・約定するレート・スプレッドが市場実勢に基づき承認レンジ内であることを担保し、スプレッド収益・売買損益が適正な金額で計上されること（V・E）</w:t>
            </w:r>
          </w:p>
          <w:p>
            <w:r>
              <w:rPr>
                <w:rFonts w:ascii="Yu Gothic" w:cs="Yu Gothic" w:eastAsia="Yu Gothic" w:hAnsi="Yu Gothic"/>
                <w:sz w:val="17"/>
                <w:szCs w:val="17"/>
              </w:rPr>
              <w:t xml:space="preserve">取引システム(プライシングエンジン)は、販売所レートを生成する都度、複数の外部参照ソース（時価情報サービス(外部)の参照市場レートおよび接続する流動性プロバイダの気配）を取得し、料率マスタ管理システムで承認済みの基準スプレッド幅・上限レンジを適用してレートを自動算定する。参照ソース間の乖離が許容閾値（例0.5%）を超える、いずれかのソースが取得遅延・断絶した、または算定レートが承認レンジ外となる場合は、システムが自動でレート提示を停止（クォート抑止）し、トレーディング部・取引管理課のプライシング担当へアラートを発する。担当は原因（ソース断・異常値・マスタ誤り）を究明し、復旧・承認されるまで当該銘柄の提示を再開しない。日次でレート提示ログと参照市場レートの差異モニタリングレポートを取引管理課長がレビューし、承認レンジ逸脱の有無を確認・記録する。</w:t>
            </w:r>
          </w:p>
        </w:tc>
        <w:tc>
          <w:tcPr>
            <w:tcW w:type="pct" w:w="13%"/>
          </w:tcPr>
          <w:p>
            <w:r>
              <w:rPr>
                <w:rFonts w:ascii="Yu Gothic" w:cs="Yu Gothic" w:eastAsia="Yu Gothic" w:hAnsi="Yu Gothic"/>
                <w:sz w:val="17"/>
                <w:szCs w:val="17"/>
              </w:rPr>
              <w:t xml:space="preserve">都度／自動(ITAC)／IT・防止的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スプレッド幅・承認レンジを設定するマスタ変更権限（システム部＋プライシング責任者の二者承認）と、レート提示ログをレビューするモニタリング担当（取引管理課長）を分離。プライシング担当個人は本番マスタを単独変更できない。</w:t>
            </w:r>
          </w:p>
          <w:p>
            <w:r>
              <w:rPr>
                <w:rFonts w:ascii="Yu Gothic" w:cs="Yu Gothic" w:eastAsia="Yu Gothic" w:hAnsi="Yu Gothic"/>
                <w:color w:val="888888"/>
                <w:sz w:val="17"/>
                <w:szCs w:val="17"/>
              </w:rPr>
              <w:t xml:space="preserve">根拠：最良執行方針 第4条、プライシング規程 第3条（スプレッド承認レンジ）、最良執行義務（金融商品取引法移管見込・自主規制規則）</w:t>
            </w:r>
          </w:p>
        </w:tc>
        <w:tc>
          <w:tcPr>
            <w:tcW w:type="pct" w:w="14%"/>
          </w:tcPr>
          <w:p>
            <w:r>
              <w:rPr>
                <w:rFonts w:ascii="Yu Gothic" w:cs="Yu Gothic" w:eastAsia="Yu Gothic" w:hAnsi="Yu Gothic"/>
                <w:sz w:val="17"/>
                <w:szCs w:val="17"/>
              </w:rPr>
              <w:t xml:space="preserve">レート提示ログ、参照市場レート差異モニタリングレポート、クォート抑止アラート記録、承認レンジ設定変更承認記録（保管10年）</w:t>
            </w:r>
          </w:p>
        </w:tc>
      </w:tr>
      <w:tr>
        <w:tc>
          <w:tcPr>
            <w:tcW w:type="pct" w:w="9%"/>
          </w:tcPr>
          <w:p>
            <w:r>
              <w:rPr>
                <w:rFonts w:ascii="Yu Gothic" w:cs="Yu Gothic" w:eastAsia="Yu Gothic" w:hAnsi="Yu Gothic"/>
                <w:b/>
                <w:bCs/>
                <w:sz w:val="17"/>
                <w:szCs w:val="17"/>
              </w:rPr>
              <w:t xml:space="preserve">A-C2</w:t>
            </w:r>
          </w:p>
          <w:p>
            <w:r>
              <w:rPr>
                <w:rFonts w:ascii="Yu Gothic" w:cs="Yu Gothic" w:eastAsia="Yu Gothic" w:hAnsi="Yu Gothic"/>
                <w:color w:val="888888"/>
                <w:sz w:val="17"/>
                <w:szCs w:val="17"/>
              </w:rPr>
              <w:t xml:space="preserve">FN-CTRL-043</w:t>
            </w:r>
          </w:p>
        </w:tc>
        <w:tc>
          <w:tcPr>
            <w:tcW w:type="pct" w:w="38%"/>
          </w:tcPr>
          <w:p>
            <w:r>
              <w:rPr>
                <w:rFonts w:ascii="Yu Gothic" w:cs="Yu Gothic" w:eastAsia="Yu Gothic" w:hAnsi="Yu Gothic"/>
                <w:b/>
                <w:bCs/>
                <w:color w:val="2B5797"/>
                <w:sz w:val="17"/>
                <w:szCs w:val="17"/>
              </w:rPr>
              <w:t xml:space="preserve">【目標】顧客へ適用される手数料率・取引条件が承認された料率体系と一致し、手数料収入が正しい金額で計上されること（V・E）</w:t>
            </w:r>
          </w:p>
          <w:p>
            <w:r>
              <w:rPr>
                <w:rFonts w:ascii="Yu Gothic" w:cs="Yu Gothic" w:eastAsia="Yu Gothic" w:hAnsi="Yu Gothic"/>
                <w:sz w:val="17"/>
                <w:szCs w:val="17"/>
              </w:rPr>
              <w:t xml:space="preserve">手数料率(メイカー／テイカー)・最小取引単位・呼値刻み・基準スプレッド幅を定める料率マスタおよび銘柄マスタの新規登録・改定は、起票担当（取引管理課）が料率マスタ管理システムで申請し、トレーディング部長（料率責任者）が改定理由・適用銘柄・有効開始日を確認のうえ電子承認する。承認後、システム部が本番反映を行い、反映後に起票担当が承認内容と本番値の一致・有効期日を検証して二重承認の証跡を残す。承認されていないマスタは本番に反映されず、変更はすべて版管理・監査ログに記録される。</w:t>
            </w:r>
          </w:p>
        </w:tc>
        <w:tc>
          <w:tcPr>
            <w:tcW w:type="pct" w:w="13%"/>
          </w:tcPr>
          <w:p>
            <w:r>
              <w:rPr>
                <w:rFonts w:ascii="Yu Gothic" w:cs="Yu Gothic" w:eastAsia="Yu Gothic" w:hAnsi="Yu Gothic"/>
                <w:sz w:val="17"/>
                <w:szCs w:val="17"/>
              </w:rPr>
              <w:t xml:space="preserve">都度／IT依存手動／承認・防止的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料率マスタの起票（取引管理課）と承認（トレーディング部長）と本番反映（システム部）を三者分離。起票者は自己申請を承認できない。</w:t>
            </w:r>
          </w:p>
          <w:p>
            <w:r>
              <w:rPr>
                <w:rFonts w:ascii="Yu Gothic" w:cs="Yu Gothic" w:eastAsia="Yu Gothic" w:hAnsi="Yu Gothic"/>
                <w:color w:val="888888"/>
                <w:sz w:val="17"/>
                <w:szCs w:val="17"/>
              </w:rPr>
              <w:t xml:space="preserve">根拠：プライシング規程 第5条、料率マスタ運用手順書 SOP-TRD-003</w:t>
            </w:r>
          </w:p>
        </w:tc>
        <w:tc>
          <w:tcPr>
            <w:tcW w:type="pct" w:w="14%"/>
          </w:tcPr>
          <w:p>
            <w:r>
              <w:rPr>
                <w:rFonts w:ascii="Yu Gothic" w:cs="Yu Gothic" w:eastAsia="Yu Gothic" w:hAnsi="Yu Gothic"/>
                <w:sz w:val="17"/>
                <w:szCs w:val="17"/>
              </w:rPr>
              <w:t xml:space="preserve">料率改定申請・承認記録、マスタ変更版管理ログ、本番反映後の一致検証記録（保管10年）</w:t>
            </w:r>
          </w:p>
        </w:tc>
      </w:tr>
      <w:tr>
        <w:tc>
          <w:tcPr>
            <w:tcW w:type="pct" w:w="9%"/>
          </w:tcPr>
          <w:p>
            <w:r>
              <w:rPr>
                <w:rFonts w:ascii="Yu Gothic" w:cs="Yu Gothic" w:eastAsia="Yu Gothic" w:hAnsi="Yu Gothic"/>
                <w:b/>
                <w:bCs/>
                <w:sz w:val="17"/>
                <w:szCs w:val="17"/>
              </w:rPr>
              <w:t xml:space="preserve">A-C3</w:t>
            </w:r>
          </w:p>
          <w:p>
            <w:r>
              <w:rPr>
                <w:rFonts w:ascii="Yu Gothic" w:cs="Yu Gothic" w:eastAsia="Yu Gothic" w:hAnsi="Yu Gothic"/>
                <w:color w:val="888888"/>
                <w:sz w:val="17"/>
                <w:szCs w:val="17"/>
              </w:rPr>
              <w:t xml:space="preserve">FN-CTRL-044</w:t>
            </w:r>
          </w:p>
        </w:tc>
        <w:tc>
          <w:tcPr>
            <w:tcW w:type="pct" w:w="38%"/>
          </w:tcPr>
          <w:p>
            <w:r>
              <w:rPr>
                <w:rFonts w:ascii="Yu Gothic" w:cs="Yu Gothic" w:eastAsia="Yu Gothic" w:hAnsi="Yu Gothic"/>
                <w:b/>
                <w:bCs/>
                <w:color w:val="2B5797"/>
                <w:sz w:val="17"/>
                <w:szCs w:val="17"/>
              </w:rPr>
              <w:t xml:space="preserve">【目標】受付要件を満たさない注文を入口で遮断し、受渡不能・分別管理不足・制裁該当取引の発生を防止（E・C）</w:t>
            </w:r>
          </w:p>
          <w:p>
            <w:r>
              <w:rPr>
                <w:rFonts w:ascii="Yu Gothic" w:cs="Yu Gothic" w:eastAsia="Yu Gothic" w:hAnsi="Yu Gothic"/>
                <w:sz w:val="17"/>
                <w:szCs w:val="17"/>
              </w:rPr>
              <w:t xml:space="preserve">取引システムは、注文受付の都度、顧客管理システム(KYC)から取得した口座状態（KYC完了・取引時確認有効・制裁/反社スクリーニング結果・取引制限フラグ）と、利用者預り台帳システムの売付可能数量（預り暗号資産）・区分管理金銭の買付余力を自動照会し、いずれかが不充足の場合は当該注文を自動的に受付拒否しエラー理由を表示する。適合性区分（取扱可能銘柄・レバレッジ可否）に反する注文も拒否する。受付・拒否の結果はすべてログに記録され、拒否件数・理由は日次でコンプライアンス課がレビューする。</w:t>
            </w:r>
          </w:p>
        </w:tc>
        <w:tc>
          <w:tcPr>
            <w:tcW w:type="pct" w:w="13%"/>
          </w:tcPr>
          <w:p>
            <w:r>
              <w:rPr>
                <w:rFonts w:ascii="Yu Gothic" w:cs="Yu Gothic" w:eastAsia="Yu Gothic" w:hAnsi="Yu Gothic"/>
                <w:sz w:val="17"/>
                <w:szCs w:val="17"/>
              </w:rPr>
              <w:t xml:space="preserve">都度／自動(ITAC)／停止・防止的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受付チェックロジックの設定権限（システム部）と、拒否結果をモニタリングするコンプライアンス課を分離。</w:t>
            </w:r>
          </w:p>
          <w:p>
            <w:r>
              <w:rPr>
                <w:rFonts w:ascii="Yu Gothic" w:cs="Yu Gothic" w:eastAsia="Yu Gothic" w:hAnsi="Yu Gothic"/>
                <w:color w:val="888888"/>
                <w:sz w:val="17"/>
                <w:szCs w:val="17"/>
              </w:rPr>
              <w:t xml:space="preserve">根拠：取引受付規程 第3条、適合性原則（自主規制規則）、犯罪収益移転防止法第4条（取引時確認）</w:t>
            </w:r>
          </w:p>
        </w:tc>
        <w:tc>
          <w:tcPr>
            <w:tcW w:type="pct" w:w="14%"/>
          </w:tcPr>
          <w:p>
            <w:r>
              <w:rPr>
                <w:rFonts w:ascii="Yu Gothic" w:cs="Yu Gothic" w:eastAsia="Yu Gothic" w:hAnsi="Yu Gothic"/>
                <w:sz w:val="17"/>
                <w:szCs w:val="17"/>
              </w:rPr>
              <w:t xml:space="preserve">注文受付・拒否ログ、残高・与信照会ログ、拒否理由レビュー記録（保管10年）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約定・マッチング・最良執行（勘定科目：暗号資産売買損益、スプレッド収益、手数料収入、預り暗号資産、利用者区分管理金銭／所管：トレーディング部・取引執行課 兼 システム部）</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1020. サブプロセス1から引き渡された受付済み注文・提示レートを約定エンジンが受領し、約定処理を開始する。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1021. 販売所(対当社OTC約定)か取引所(板マッチング)かを判定する。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1022. マッチングエンジンが価格優先・時間優先原則で注文板を突合し約定を成立させる。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1023. 販売所注文を提示レートで当社が相手方として約定し、スプレッドを収益認識対象として記録する。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1024. 約定記録を一意採番で生成し、約定キュー件数と確定件数を自動照合。不整合は保留としアラート（C3）。</w:t>
      </w:r>
      <w:r>
        <w:rPr>
          <w:rFonts w:ascii="Yu Gothic" w:cs="Yu Gothic" w:eastAsia="Yu Gothic" w:hAnsi="Yu Gothic"/>
          <w:b/>
          <w:bCs/>
          <w:color w:val="B85C00"/>
          <w:sz w:val="20"/>
          <w:szCs w:val="20"/>
        </w:rPr>
        <w:t xml:space="preserve">　◀ 統制 B-C3（S1024）</w:t>
      </w:r>
    </w:p>
    <w:p>
      <w:r>
        <w:rPr>
          <w:rFonts w:ascii="Yu Gothic" w:cs="Yu Gothic" w:eastAsia="Yu Gothic" w:hAnsi="Yu Gothic"/>
          <w:sz w:val="20"/>
          <w:szCs w:val="20"/>
        </w:rPr>
        <w:t xml:space="preserve">1025. 部分約定・二重約定・取消不整合の有無を判定する。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1027. 最良執行モニタリングシステムで約定価格と参照市場レートを突合し、許容スリッページ・価格/時間優先逸脱を検証（C1）。</w:t>
      </w:r>
      <w:r>
        <w:rPr>
          <w:rFonts w:ascii="Yu Gothic" w:cs="Yu Gothic" w:eastAsia="Yu Gothic" w:hAnsi="Yu Gothic"/>
          <w:b/>
          <w:bCs/>
          <w:color w:val="B85C00"/>
          <w:sz w:val="20"/>
          <w:szCs w:val="20"/>
        </w:rPr>
        <w:t xml:space="preserve">　◀ 統制 B-C1（S1027）</w:t>
      </w:r>
    </w:p>
    <w:p>
      <w:r>
        <w:rPr>
          <w:rFonts w:ascii="Yu Gothic" w:cs="Yu Gothic" w:eastAsia="Yu Gothic" w:hAnsi="Yu Gothic"/>
          <w:sz w:val="20"/>
          <w:szCs w:val="20"/>
        </w:rPr>
        <w:t xml:space="preserve">1028. 閾値超過の不利約定・約定順序逆転があるか判定する。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1030. 整合・最良執行検証済みの確定約定を、サブプロセス3(分離・売買審査)およびサブプロセス4(照合・残高/収益連携)へ引き渡す。</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1031. 約定・マッチング・最良執行工程を完了する。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・保留約定を調査。障害時の手動介入が必要な場合は起票し執行課長が事前承認、後にコンプライアンス課がレビュー（C2・例外フロー）。</w:t>
      </w:r>
    </w:p>
    <w:p>
      <w:r>
        <w:rPr>
          <w:rFonts w:ascii="Yu Gothic" w:cs="Yu Gothic" w:eastAsia="Yu Gothic" w:hAnsi="Yu Gothic"/>
          <w:color w:val="555555"/>
          <w:sz w:val="20"/>
          <w:szCs w:val="20"/>
        </w:rPr>
        <w:t xml:space="preserve">・逸脱約定の原因を調査し、顧客不利益分の約定価格是正・補填を判断・実行、最良執行委員会へ報告（C1・例外フロー）。</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・約定管理規程 第5条</w:t>
      </w:r>
    </w:p>
    <w:p>
      <w:r>
        <w:rPr>
          <w:rFonts w:ascii="Yu Gothic" w:cs="Yu Gothic" w:eastAsia="Yu Gothic" w:hAnsi="Yu Gothic"/>
          <w:sz w:val="20"/>
          <w:szCs w:val="20"/>
        </w:rPr>
        <w:t xml:space="preserve">・最良執行方針 第6条</w:t>
      </w:r>
    </w:p>
    <w:p>
      <w:r>
        <w:rPr>
          <w:rFonts w:ascii="Yu Gothic" w:cs="Yu Gothic" w:eastAsia="Yu Gothic" w:hAnsi="Yu Gothic"/>
          <w:sz w:val="20"/>
          <w:szCs w:val="20"/>
        </w:rPr>
        <w:t xml:space="preserve">・約定管理規程 第9条</w:t>
      </w:r>
    </w:p>
    <w:p>
      <w:r>
        <w:rPr>
          <w:rFonts w:ascii="Yu Gothic" w:cs="Yu Gothic" w:eastAsia="Yu Gothic" w:hAnsi="Yu Gothic"/>
          <w:sz w:val="20"/>
          <w:szCs w:val="20"/>
        </w:rPr>
        <w:t xml:space="preserve">・最良執行方針 第7条</w:t>
      </w:r>
    </w:p>
    <w:p>
      <w:r>
        <w:rPr>
          <w:rFonts w:ascii="Yu Gothic" w:cs="Yu Gothic" w:eastAsia="Yu Gothic" w:hAnsi="Yu Gothic"/>
          <w:sz w:val="20"/>
          <w:szCs w:val="20"/>
        </w:rPr>
        <w:t xml:space="preserve">・最良執行方針 第6条・第7条、最良執行義務（金融商品取引法移管見込）、自主規制規則</w:t>
      </w:r>
    </w:p>
    <w:p>
      <w:r>
        <w:rPr>
          <w:rFonts w:ascii="Yu Gothic" w:cs="Yu Gothic" w:eastAsia="Yu Gothic" w:hAnsi="Yu Gothic"/>
          <w:sz w:val="20"/>
          <w:szCs w:val="20"/>
        </w:rPr>
        <w:t xml:space="preserve">・約定管理規程 第9条（手動介入手続）、内部管理態勢に関する規程</w:t>
      </w:r>
    </w:p>
    <w:p>
      <w:r>
        <w:rPr>
          <w:rFonts w:ascii="Yu Gothic" w:cs="Yu Gothic" w:eastAsia="Yu Gothic" w:hAnsi="Yu Gothic"/>
          <w:sz w:val="20"/>
          <w:szCs w:val="20"/>
        </w:rPr>
        <w:t xml:space="preserve">・約定管理規程 第5条、システム運用手順書 SOP-TRD-010</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B-C1</w:t>
            </w:r>
          </w:p>
          <w:p>
            <w:r>
              <w:rPr>
                <w:rFonts w:ascii="Yu Gothic" w:cs="Yu Gothic" w:eastAsia="Yu Gothic" w:hAnsi="Yu Gothic"/>
                <w:color w:val="888888"/>
                <w:sz w:val="17"/>
                <w:szCs w:val="17"/>
              </w:rPr>
              <w:t xml:space="preserve">FN-CTRL-045</w:t>
            </w:r>
          </w:p>
        </w:tc>
        <w:tc>
          <w:tcPr>
            <w:tcW w:type="pct" w:w="38%"/>
          </w:tcPr>
          <w:p>
            <w:r>
              <w:rPr>
                <w:rFonts w:ascii="Yu Gothic" w:cs="Yu Gothic" w:eastAsia="Yu Gothic" w:hAnsi="Yu Gothic"/>
                <w:b/>
                <w:bCs/>
                <w:color w:val="2B5797"/>
                <w:sz w:val="17"/>
                <w:szCs w:val="17"/>
              </w:rPr>
              <w:t xml:space="preserve">【目標】顧客注文が最良執行価格・価格優先/時間優先原則に従い約定していることを検証し、不利約定を発見・是正（V・E）</w:t>
            </w:r>
          </w:p>
          <w:p>
            <w:r>
              <w:rPr>
                <w:rFonts w:ascii="Yu Gothic" w:cs="Yu Gothic" w:eastAsia="Yu Gothic" w:hAnsi="Yu Gothic"/>
                <w:sz w:val="17"/>
                <w:szCs w:val="17"/>
              </w:rPr>
              <w:t xml:space="preserve">取引執行課は、最良執行モニタリングシステムを用いて、毎営業日、全約定（販売所・取引所）について、約定価格と同時刻の参照市場レート・板気配を突合し、最良執行方針に定める許容スリッページ・価格優先/時間優先原則からの逸脱がないかを自動検証する。閾値を超える逸脱約定・約定順序の前後逆転が検出された場合は、取引執行課長が個別に原因（システム遅延・手動介入・板の薄さ）を調査し、顧客に不利益が生じている場合は約定価格の是正・補填を判断・実行する。月次で最良執行の結果評価レポートを取締役会(または最良執行委員会)へ報告する。</w:t>
            </w:r>
          </w:p>
        </w:tc>
        <w:tc>
          <w:tcPr>
            <w:tcW w:type="pct" w:w="13%"/>
          </w:tcPr>
          <w:p>
            <w:r>
              <w:rPr>
                <w:rFonts w:ascii="Yu Gothic" w:cs="Yu Gothic" w:eastAsia="Yu Gothic" w:hAnsi="Yu Gothic"/>
                <w:sz w:val="17"/>
                <w:szCs w:val="17"/>
              </w:rPr>
              <w:t xml:space="preserve">日次／IT依存手動／分析・発見的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約定エンジンの運用権限（システム部）と最良執行モニタリング・是正判断（取引執行課長）を分離。モニタリング対象データは運用担当が改変できない。</w:t>
            </w:r>
          </w:p>
          <w:p>
            <w:r>
              <w:rPr>
                <w:rFonts w:ascii="Yu Gothic" w:cs="Yu Gothic" w:eastAsia="Yu Gothic" w:hAnsi="Yu Gothic"/>
                <w:color w:val="888888"/>
                <w:sz w:val="17"/>
                <w:szCs w:val="17"/>
              </w:rPr>
              <w:t xml:space="preserve">根拠：最良執行方針 第6条・第7条、最良執行義務（金融商品取引法移管見込）、自主規制規則</w:t>
            </w:r>
          </w:p>
        </w:tc>
        <w:tc>
          <w:tcPr>
            <w:tcW w:type="pct" w:w="14%"/>
          </w:tcPr>
          <w:p>
            <w:r>
              <w:rPr>
                <w:rFonts w:ascii="Yu Gothic" w:cs="Yu Gothic" w:eastAsia="Yu Gothic" w:hAnsi="Yu Gothic"/>
                <w:sz w:val="17"/>
                <w:szCs w:val="17"/>
              </w:rPr>
              <w:t xml:space="preserve">最良執行検証レポート、逸脱約定調査記録、約定価格是正・補填記録、最良執行委員会報告資料（保管10年）</w:t>
            </w:r>
          </w:p>
        </w:tc>
      </w:tr>
      <w:tr>
        <w:tc>
          <w:tcPr>
            <w:tcW w:type="pct" w:w="9%"/>
          </w:tcPr>
          <w:p>
            <w:r>
              <w:rPr>
                <w:rFonts w:ascii="Yu Gothic" w:cs="Yu Gothic" w:eastAsia="Yu Gothic" w:hAnsi="Yu Gothic"/>
                <w:b/>
                <w:bCs/>
                <w:sz w:val="17"/>
                <w:szCs w:val="17"/>
              </w:rPr>
              <w:t xml:space="preserve">B-C2</w:t>
            </w:r>
          </w:p>
          <w:p>
            <w:r>
              <w:rPr>
                <w:rFonts w:ascii="Yu Gothic" w:cs="Yu Gothic" w:eastAsia="Yu Gothic" w:hAnsi="Yu Gothic"/>
                <w:color w:val="888888"/>
                <w:sz w:val="17"/>
                <w:szCs w:val="17"/>
              </w:rPr>
              <w:t xml:space="preserve">FN-CTRL-046</w:t>
            </w:r>
          </w:p>
        </w:tc>
        <w:tc>
          <w:tcPr>
            <w:tcW w:type="pct" w:w="38%"/>
          </w:tcPr>
          <w:p>
            <w:r>
              <w:rPr>
                <w:rFonts w:ascii="Yu Gothic" w:cs="Yu Gothic" w:eastAsia="Yu Gothic" w:hAnsi="Yu Gothic"/>
                <w:b/>
                <w:bCs/>
                <w:color w:val="2B5797"/>
                <w:sz w:val="17"/>
                <w:szCs w:val="17"/>
              </w:rPr>
              <w:t xml:space="preserve">【目標】約定への手動介入を事前承認・独立レビュー下に置き、フロントランニング・約定付替え等の不正操作を防止・発見（V・E・PD）</w:t>
            </w:r>
          </w:p>
          <w:p>
            <w:r>
              <w:rPr>
                <w:rFonts w:ascii="Yu Gothic" w:cs="Yu Gothic" w:eastAsia="Yu Gothic" w:hAnsi="Yu Gothic"/>
                <w:sz w:val="17"/>
                <w:szCs w:val="17"/>
              </w:rPr>
              <w:t xml:space="preserve">約定エンジンに対する手動介入（約定価格・順序・時刻の上書き、約定取消・再約定）は、システム障害等の例外時に限り、取引執行課の起票担当が介入理由・対象約定を記録のうえ申請し、取引執行課長（起票担当と別人）が事前承認した場合のみ実行できる。緊急で事後承認となる場合も、翌営業日までに介入ログとともにコンプライアンス課がレビューし、正当性・最良執行への影響を検証する。全手動介入は操作者ID・時刻・前後値とともに改ざん不可ログに記録される。</w:t>
            </w:r>
          </w:p>
        </w:tc>
        <w:tc>
          <w:tcPr>
            <w:tcW w:type="pct" w:w="13%"/>
          </w:tcPr>
          <w:p>
            <w:r>
              <w:rPr>
                <w:rFonts w:ascii="Yu Gothic" w:cs="Yu Gothic" w:eastAsia="Yu Gothic" w:hAnsi="Yu Gothic"/>
                <w:sz w:val="17"/>
                <w:szCs w:val="17"/>
              </w:rPr>
              <w:t xml:space="preserve">都度／IT依存手動／承認・防止的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手動介入の起票（執行担当）・事前承認（執行課長）・事後レビュー（コンプライアンス課）を三者分離。介入権限をもつ運用担当は自己承認不可。</w:t>
            </w:r>
          </w:p>
          <w:p>
            <w:r>
              <w:rPr>
                <w:rFonts w:ascii="Yu Gothic" w:cs="Yu Gothic" w:eastAsia="Yu Gothic" w:hAnsi="Yu Gothic"/>
                <w:color w:val="888888"/>
                <w:sz w:val="17"/>
                <w:szCs w:val="17"/>
              </w:rPr>
              <w:t xml:space="preserve">根拠：約定管理規程 第9条（手動介入手続）、内部管理態勢に関する規程</w:t>
            </w:r>
          </w:p>
        </w:tc>
        <w:tc>
          <w:tcPr>
            <w:tcW w:type="pct" w:w="14%"/>
          </w:tcPr>
          <w:p>
            <w:r>
              <w:rPr>
                <w:rFonts w:ascii="Yu Gothic" w:cs="Yu Gothic" w:eastAsia="Yu Gothic" w:hAnsi="Yu Gothic"/>
                <w:sz w:val="17"/>
                <w:szCs w:val="17"/>
              </w:rPr>
              <w:t xml:space="preserve">手動介入申請・承認記録、介入操作ログ(前後値)、コンプライアンス課レビュー記録（保管10年）</w:t>
            </w:r>
          </w:p>
        </w:tc>
      </w:tr>
      <w:tr>
        <w:tc>
          <w:tcPr>
            <w:tcW w:type="pct" w:w="9%"/>
          </w:tcPr>
          <w:p>
            <w:r>
              <w:rPr>
                <w:rFonts w:ascii="Yu Gothic" w:cs="Yu Gothic" w:eastAsia="Yu Gothic" w:hAnsi="Yu Gothic"/>
                <w:b/>
                <w:bCs/>
                <w:sz w:val="17"/>
                <w:szCs w:val="17"/>
              </w:rPr>
              <w:t xml:space="preserve">B-C3</w:t>
            </w:r>
          </w:p>
          <w:p>
            <w:r>
              <w:rPr>
                <w:rFonts w:ascii="Yu Gothic" w:cs="Yu Gothic" w:eastAsia="Yu Gothic" w:hAnsi="Yu Gothic"/>
                <w:color w:val="888888"/>
                <w:sz w:val="17"/>
                <w:szCs w:val="17"/>
              </w:rPr>
              <w:t xml:space="preserve">FN-CTRL-047</w:t>
            </w:r>
          </w:p>
        </w:tc>
        <w:tc>
          <w:tcPr>
            <w:tcW w:type="pct" w:w="38%"/>
          </w:tcPr>
          <w:p>
            <w:r>
              <w:rPr>
                <w:rFonts w:ascii="Yu Gothic" w:cs="Yu Gothic" w:eastAsia="Yu Gothic" w:hAnsi="Yu Gothic"/>
                <w:b/>
                <w:bCs/>
                <w:color w:val="2B5797"/>
                <w:sz w:val="17"/>
                <w:szCs w:val="17"/>
              </w:rPr>
              <w:t xml:space="preserve">【目標】約定記録が漏れなく重複なく一意に生成され、後続連携の母集団の網羅性・実在性を確保（C・E）</w:t>
            </w:r>
          </w:p>
          <w:p>
            <w:r>
              <w:rPr>
                <w:rFonts w:ascii="Yu Gothic" w:cs="Yu Gothic" w:eastAsia="Yu Gothic" w:hAnsi="Yu Gothic"/>
                <w:sz w:val="17"/>
                <w:szCs w:val="17"/>
              </w:rPr>
              <w:t xml:space="preserve">取引システムは約定成立の都度、約定記録（約定ID・数量・価格・手数料・スプレッド・約定時刻・顧客ID・銘柄・売買方向）を一意採番で生成し、約定キュー件数と約定確定件数のリアルタイム自動照合を行う。部分約定・二重約定・取消不整合が検出された場合はシステムが当該約定を保留(サスペンス)としアラートを発し、取引執行課が整合を確認・確定するまで残高・収益連携に流さない。テスト環境データの混入は環境フラグで遮断する。</w:t>
            </w:r>
          </w:p>
        </w:tc>
        <w:tc>
          <w:tcPr>
            <w:tcW w:type="pct" w:w="13%"/>
          </w:tcPr>
          <w:p>
            <w:r>
              <w:rPr>
                <w:rFonts w:ascii="Yu Gothic" w:cs="Yu Gothic" w:eastAsia="Yu Gothic" w:hAnsi="Yu Gothic"/>
                <w:sz w:val="17"/>
                <w:szCs w:val="17"/>
              </w:rPr>
              <w:t xml:space="preserve">都度／自動(ITAC)／照合・防止的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約定生成ロジックの設定（システム部）と保留約定の確定承認（取引執行課）を分離。</w:t>
            </w:r>
          </w:p>
          <w:p>
            <w:r>
              <w:rPr>
                <w:rFonts w:ascii="Yu Gothic" w:cs="Yu Gothic" w:eastAsia="Yu Gothic" w:hAnsi="Yu Gothic"/>
                <w:color w:val="888888"/>
                <w:sz w:val="17"/>
                <w:szCs w:val="17"/>
              </w:rPr>
              <w:t xml:space="preserve">根拠：約定管理規程 第5条、システム運用手順書 SOP-TRD-010</w:t>
            </w:r>
          </w:p>
        </w:tc>
        <w:tc>
          <w:tcPr>
            <w:tcW w:type="pct" w:w="14%"/>
          </w:tcPr>
          <w:p>
            <w:r>
              <w:rPr>
                <w:rFonts w:ascii="Yu Gothic" w:cs="Yu Gothic" w:eastAsia="Yu Gothic" w:hAnsi="Yu Gothic"/>
                <w:sz w:val="17"/>
                <w:szCs w:val="17"/>
              </w:rPr>
              <w:t xml:space="preserve">約定記録ログ、約定件数リアルタイム照合ログ、保留約定アラート・確定記録（保管10年）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自己勘定取引と顧客注文の分離・売買審査（勘定科目：暗号資産売買損益、利用者暗号資産、預り暗号資産、スプレッド収益／所管：トレーディング部・自己勘定取引課／審査・コンプライアンス課（売買審査））</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2040. 毎営業日、確定約定（自己勘定・顧客）が出揃った時点で分離検証・売買審査バッチが起動する。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2041. 自己勘定管理システムの自己建玉・約定と取引システムの顧客約定を口座区分付きで取り込む。</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2042. 自己勘定建玉・約定と顧客約定を突合し、相対付替え・先回り発注・情報遮断逸脱の有無をレビューし承認（C1）。</w:t>
      </w:r>
      <w:r>
        <w:rPr>
          <w:rFonts w:ascii="Yu Gothic" w:cs="Yu Gothic" w:eastAsia="Yu Gothic" w:hAnsi="Yu Gothic"/>
          <w:b/>
          <w:bCs/>
          <w:color w:val="B85C00"/>
          <w:sz w:val="20"/>
          <w:szCs w:val="20"/>
        </w:rPr>
        <w:t xml:space="preserve">　◀ 統制 C-C1（S2042）</w:t>
      </w:r>
    </w:p>
    <w:p>
      <w:r>
        <w:rPr>
          <w:rFonts w:ascii="Yu Gothic" w:cs="Yu Gothic" w:eastAsia="Yu Gothic" w:hAnsi="Yu Gothic"/>
          <w:sz w:val="20"/>
          <w:szCs w:val="20"/>
        </w:rPr>
        <w:t xml:space="preserve">2043. 自己勘定と顧客間の付替え・先回りの疑義があるか判定する。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2045. 取引監視機能が仮装・馴合売買・見せ玉・先回り等の検知ルールでアラートを生成する。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2046. 売買審査担当が当日アラートを漏れなく消込し、正常/疑義を判定・記録する（C2）。</w:t>
      </w:r>
      <w:r>
        <w:rPr>
          <w:rFonts w:ascii="Yu Gothic" w:cs="Yu Gothic" w:eastAsia="Yu Gothic" w:hAnsi="Yu Gothic"/>
          <w:b/>
          <w:bCs/>
          <w:color w:val="B85C00"/>
          <w:sz w:val="20"/>
          <w:szCs w:val="20"/>
        </w:rPr>
        <w:t xml:space="preserve">　◀ 統制 C-C2（S2046）</w:t>
      </w:r>
    </w:p>
    <w:p>
      <w:r>
        <w:rPr>
          <w:rFonts w:ascii="Yu Gothic" w:cs="Yu Gothic" w:eastAsia="Yu Gothic" w:hAnsi="Yu Gothic"/>
          <w:sz w:val="20"/>
          <w:szCs w:val="20"/>
        </w:rPr>
        <w:t xml:space="preserve">2047. 相場操縦・不公正取引・疑わしい取引に該当するか判定する。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2049. 約定後の自己/利用者銘柄別数量の分別管理連携の正確性を確認し、詳細突合はP201正本に依拠（C3）。</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2050. 自己勘定分離検証・売買審査工程を完了し、結果を記録する。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・分離逸脱・付替え疑義を審査・コンプライアンス課へエスカレーションし調査、必要に応じ約定是正・懲戒・届出を判断（C1・例外フロー）。</w:t>
      </w:r>
    </w:p>
    <w:p>
      <w:r>
        <w:rPr>
          <w:rFonts w:ascii="Yu Gothic" w:cs="Yu Gothic" w:eastAsia="Yu Gothic" w:hAnsi="Yu Gothic"/>
          <w:color w:val="555555"/>
          <w:sz w:val="20"/>
          <w:szCs w:val="20"/>
        </w:rPr>
        <w:t xml:space="preserve">・疑わしい取引をP208(取引モニタリング・疑わしい取引の届出)へ連携し、届出要否を検討（C2・例外フロー）。</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・自己勘定取引管理規程 第3条</w:t>
      </w:r>
    </w:p>
    <w:p>
      <w:r>
        <w:rPr>
          <w:rFonts w:ascii="Yu Gothic" w:cs="Yu Gothic" w:eastAsia="Yu Gothic" w:hAnsi="Yu Gothic"/>
          <w:sz w:val="20"/>
          <w:szCs w:val="20"/>
        </w:rPr>
        <w:t xml:space="preserve">・自己勘定取引管理規程 第4条</w:t>
      </w:r>
    </w:p>
    <w:p>
      <w:r>
        <w:rPr>
          <w:rFonts w:ascii="Yu Gothic" w:cs="Yu Gothic" w:eastAsia="Yu Gothic" w:hAnsi="Yu Gothic"/>
          <w:sz w:val="20"/>
          <w:szCs w:val="20"/>
        </w:rPr>
        <w:t xml:space="preserve">・売買審査規程 第4条</w:t>
      </w:r>
    </w:p>
    <w:p>
      <w:r>
        <w:rPr>
          <w:rFonts w:ascii="Yu Gothic" w:cs="Yu Gothic" w:eastAsia="Yu Gothic" w:hAnsi="Yu Gothic"/>
          <w:sz w:val="20"/>
          <w:szCs w:val="20"/>
        </w:rPr>
        <w:t xml:space="preserve">・犯収法第8条</w:t>
      </w:r>
    </w:p>
    <w:p>
      <w:r>
        <w:rPr>
          <w:rFonts w:ascii="Yu Gothic" w:cs="Yu Gothic" w:eastAsia="Yu Gothic" w:hAnsi="Yu Gothic"/>
          <w:sz w:val="20"/>
          <w:szCs w:val="20"/>
        </w:rPr>
        <w:t xml:space="preserve">・資金決済法第63条の11</w:t>
      </w:r>
    </w:p>
    <w:p>
      <w:r>
        <w:rPr>
          <w:rFonts w:ascii="Yu Gothic" w:cs="Yu Gothic" w:eastAsia="Yu Gothic" w:hAnsi="Yu Gothic"/>
          <w:sz w:val="20"/>
          <w:szCs w:val="20"/>
        </w:rPr>
        <w:t xml:space="preserve">・自己勘定取引管理規程 第3条・第4条（情報遮断）、最良執行方針、内部管理態勢規程</w:t>
      </w:r>
    </w:p>
    <w:p>
      <w:r>
        <w:rPr>
          <w:rFonts w:ascii="Yu Gothic" w:cs="Yu Gothic" w:eastAsia="Yu Gothic" w:hAnsi="Yu Gothic"/>
          <w:sz w:val="20"/>
          <w:szCs w:val="20"/>
        </w:rPr>
        <w:t xml:space="preserve">・売買審査規程 第4条、自主規制規則（不公正取引の禁止）、金融商品取引法移管に伴うインサイダー規制（2027年度見込）</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C-C1</w:t>
            </w:r>
          </w:p>
          <w:p>
            <w:r>
              <w:rPr>
                <w:rFonts w:ascii="Yu Gothic" w:cs="Yu Gothic" w:eastAsia="Yu Gothic" w:hAnsi="Yu Gothic"/>
                <w:color w:val="888888"/>
                <w:sz w:val="17"/>
                <w:szCs w:val="17"/>
              </w:rPr>
              <w:t xml:space="preserve">FN-CTRL-048</w:t>
            </w:r>
          </w:p>
        </w:tc>
        <w:tc>
          <w:tcPr>
            <w:tcW w:type="pct" w:w="38%"/>
          </w:tcPr>
          <w:p>
            <w:r>
              <w:rPr>
                <w:rFonts w:ascii="Yu Gothic" w:cs="Yu Gothic" w:eastAsia="Yu Gothic" w:hAnsi="Yu Gothic"/>
                <w:b/>
                <w:bCs/>
                <w:color w:val="2B5797"/>
                <w:sz w:val="17"/>
                <w:szCs w:val="17"/>
              </w:rPr>
              <w:t xml:space="preserve">【目標】自己勘定取引と顧客注文を口座・建玉・権限・情報の各面で分離し、損益付替え・フロントランニングを防止（E・RO・PD）</w:t>
            </w:r>
          </w:p>
          <w:p>
            <w:r>
              <w:rPr>
                <w:rFonts w:ascii="Yu Gothic" w:cs="Yu Gothic" w:eastAsia="Yu Gothic" w:hAnsi="Yu Gothic"/>
                <w:sz w:val="17"/>
                <w:szCs w:val="17"/>
              </w:rPr>
              <w:t xml:space="preserve">自己勘定取引は、自己勘定管理システム上で顧客注文フローとは物理的・論理的に分離された専用口座・専用建玉で管理し、自己勘定トレーダーと顧客注文を執行する担当（取引執行課）の職務・システムアクセス権限・物理区画を分離する（情報遮断/チャイニーズウォール）。自己勘定の発注は顧客注文板情報を参照できない環境で行い、自己勘定取引課長が日次で自己勘定建玉・約定一覧と顧客約定一覧を突合し、自己勘定と顧客間の相対約定・付替え・同一時刻の先回り発注の有無をレビューして電子承認する。疑義があれば審査・コンプライアンス課へエスカレーションする。</w:t>
            </w:r>
          </w:p>
        </w:tc>
        <w:tc>
          <w:tcPr>
            <w:tcW w:type="pct" w:w="13%"/>
          </w:tcPr>
          <w:p>
            <w:r>
              <w:rPr>
                <w:rFonts w:ascii="Yu Gothic" w:cs="Yu Gothic" w:eastAsia="Yu Gothic" w:hAnsi="Yu Gothic"/>
                <w:sz w:val="17"/>
                <w:szCs w:val="17"/>
              </w:rPr>
              <w:t xml:space="preserve">日次／IT依存手動／確認・防止的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自己勘定トレーダーと顧客注文執行担当を職務・権限・物理区画で分離（チャイニーズウォール）。自己勘定の分離突合は取引執行課と独立した自己勘定取引課長が承認。</w:t>
            </w:r>
          </w:p>
          <w:p>
            <w:r>
              <w:rPr>
                <w:rFonts w:ascii="Yu Gothic" w:cs="Yu Gothic" w:eastAsia="Yu Gothic" w:hAnsi="Yu Gothic"/>
                <w:color w:val="888888"/>
                <w:sz w:val="17"/>
                <w:szCs w:val="17"/>
              </w:rPr>
              <w:t xml:space="preserve">根拠：自己勘定取引管理規程 第3条・第4条（情報遮断）、最良執行方針、内部管理態勢規程</w:t>
            </w:r>
          </w:p>
        </w:tc>
        <w:tc>
          <w:tcPr>
            <w:tcW w:type="pct" w:w="14%"/>
          </w:tcPr>
          <w:p>
            <w:r>
              <w:rPr>
                <w:rFonts w:ascii="Yu Gothic" w:cs="Yu Gothic" w:eastAsia="Yu Gothic" w:hAnsi="Yu Gothic"/>
                <w:sz w:val="17"/>
                <w:szCs w:val="17"/>
              </w:rPr>
              <w:t xml:space="preserve">自己勘定・顧客約定突合表、アクセス権限分離一覧、情報遮断モニタリング記録、自己勘定取引課長承認記録（保管10年）</w:t>
            </w:r>
          </w:p>
        </w:tc>
      </w:tr>
      <w:tr>
        <w:tc>
          <w:tcPr>
            <w:tcW w:type="pct" w:w="9%"/>
          </w:tcPr>
          <w:p>
            <w:r>
              <w:rPr>
                <w:rFonts w:ascii="Yu Gothic" w:cs="Yu Gothic" w:eastAsia="Yu Gothic" w:hAnsi="Yu Gothic"/>
                <w:b/>
                <w:bCs/>
                <w:sz w:val="17"/>
                <w:szCs w:val="17"/>
              </w:rPr>
              <w:t xml:space="preserve">C-C2</w:t>
            </w:r>
          </w:p>
          <w:p>
            <w:r>
              <w:rPr>
                <w:rFonts w:ascii="Yu Gothic" w:cs="Yu Gothic" w:eastAsia="Yu Gothic" w:hAnsi="Yu Gothic"/>
                <w:color w:val="888888"/>
                <w:sz w:val="17"/>
                <w:szCs w:val="17"/>
              </w:rPr>
              <w:t xml:space="preserve">FN-CTRL-049</w:t>
            </w:r>
          </w:p>
        </w:tc>
        <w:tc>
          <w:tcPr>
            <w:tcW w:type="pct" w:w="38%"/>
          </w:tcPr>
          <w:p>
            <w:r>
              <w:rPr>
                <w:rFonts w:ascii="Yu Gothic" w:cs="Yu Gothic" w:eastAsia="Yu Gothic" w:hAnsi="Yu Gothic"/>
                <w:b/>
                <w:bCs/>
                <w:color w:val="2B5797"/>
                <w:sz w:val="17"/>
                <w:szCs w:val="17"/>
              </w:rPr>
              <w:t xml:space="preserve">【目標】自己勘定・顧客取引における相場操縦・不公正取引・先回り取引を検知・調査し、不正・違反取引を発見（PD・E）</w:t>
            </w:r>
          </w:p>
          <w:p>
            <w:r>
              <w:rPr>
                <w:rFonts w:ascii="Yu Gothic" w:cs="Yu Gothic" w:eastAsia="Yu Gothic" w:hAnsi="Yu Gothic"/>
                <w:sz w:val="17"/>
                <w:szCs w:val="17"/>
              </w:rPr>
              <w:t xml:space="preserve">審査・コンプライアンス課は、最良執行モニタリングシステム/取引監視機能の不公正取引検知ルール（仮装・馴合売買、見せ玉、急激な価格変動を伴う自己/顧客取引、職員関係口座の先回り）に基づき生成されるアラートを、毎営業日漏れなく消込（調査・正常/疑義の判定・記録）する。疑わしい取引はP208(取引モニタリング・疑わしい取引の届出)へ連携し、検知ルール・閾値は半期ごとに有効性を評価・更新する。未消込アラートは課長が滞留管理する。</w:t>
            </w:r>
          </w:p>
        </w:tc>
        <w:tc>
          <w:tcPr>
            <w:tcW w:type="pct" w:w="13%"/>
          </w:tcPr>
          <w:p>
            <w:r>
              <w:rPr>
                <w:rFonts w:ascii="Yu Gothic" w:cs="Yu Gothic" w:eastAsia="Yu Gothic" w:hAnsi="Yu Gothic"/>
                <w:sz w:val="17"/>
                <w:szCs w:val="17"/>
              </w:rPr>
              <w:t xml:space="preserve">日次／IT依存手動／確認・発見的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取引を執行するトレーディング部と、売買審査を行う審査・コンプライアンス課を組織的に分離。検知ルール変更は審査責任者承認。</w:t>
            </w:r>
          </w:p>
          <w:p>
            <w:r>
              <w:rPr>
                <w:rFonts w:ascii="Yu Gothic" w:cs="Yu Gothic" w:eastAsia="Yu Gothic" w:hAnsi="Yu Gothic"/>
                <w:color w:val="888888"/>
                <w:sz w:val="17"/>
                <w:szCs w:val="17"/>
              </w:rPr>
              <w:t xml:space="preserve">根拠：売買審査規程 第4条、自主規制規則（不公正取引の禁止）、金融商品取引法移管に伴うインサイダー規制（2027年度見込）</w:t>
            </w:r>
          </w:p>
        </w:tc>
        <w:tc>
          <w:tcPr>
            <w:tcW w:type="pct" w:w="14%"/>
          </w:tcPr>
          <w:p>
            <w:r>
              <w:rPr>
                <w:rFonts w:ascii="Yu Gothic" w:cs="Yu Gothic" w:eastAsia="Yu Gothic" w:hAnsi="Yu Gothic"/>
                <w:sz w:val="17"/>
                <w:szCs w:val="17"/>
              </w:rPr>
              <w:t xml:space="preserve">不公正取引アラート消込記録、売買審査調査票、検知ルール有効性評価記録、P208連携記録（保管10年）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約定照合・残高/収益連携・カットオフ（勘定科目：手数料収入、スプレッド収益、暗号資産売買損益、預り暗号資産、利用者暗号資産、利用者区分管理金銭／所管：財務経理部・取引会計課 兼 トレーディング部・取引管理課）</w:t>
      </w:r>
    </w:p>
    <w:p>
      <w:r>
        <w:rPr>
          <w:rFonts w:ascii="Yu Gothic" w:cs="Yu Gothic" w:eastAsia="Yu Gothic" w:hAnsi="Yu Gothic"/>
          <w:b/>
          <w:bCs/>
          <w:sz w:val="22"/>
          <w:szCs w:val="22"/>
        </w:rPr>
        <w:t xml:space="preserve">【業務の流れ】</w:t>
      </w:r>
    </w:p>
    <w:p>
      <w:r>
        <w:rPr>
          <w:rFonts w:ascii="Yu Gothic" w:cs="Yu Gothic" w:eastAsia="Yu Gothic" w:hAnsi="Yu Gothic"/>
          <w:sz w:val="20"/>
          <w:szCs w:val="20"/>
        </w:rPr>
        <w:t xml:space="preserve">3060. サブプロセス2から引き渡された確定約定について、日次の残高/収益連携バッチが起動する。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3061. 取引会計課担当が約定日・受渡日・締め時刻基準で会計日付・会計期間を確定し、日跨ぎ・期末跨ぎ分を正しい期間へ区分する（C4が維持）。</w:t>
      </w:r>
      <w:r>
        <w:rPr>
          <w:rFonts w:ascii="Yu Gothic" w:cs="Yu Gothic" w:eastAsia="Yu Gothic" w:hAnsi="Yu Gothic"/>
          <w:b/>
          <w:bCs/>
          <w:color w:val="B85C00"/>
          <w:sz w:val="20"/>
          <w:szCs w:val="20"/>
        </w:rPr>
        <w:t xml:space="preserve">　◀ 統制 D-C4（S3061）</w:t>
      </w:r>
    </w:p>
    <w:p>
      <w:r>
        <w:rPr>
          <w:rFonts w:ascii="Yu Gothic" w:cs="Yu Gothic" w:eastAsia="Yu Gothic" w:hAnsi="Yu Gothic"/>
          <w:sz w:val="20"/>
          <w:szCs w:val="20"/>
        </w:rPr>
        <w:t xml:space="preserve">3062. 取引システムの確定約定明細を会計システムへ自動連携する。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3063. 件数・金額・ハッシュの三点照合と、残高更新・顧客受渡実績の突合を実施する（C1）。</w:t>
      </w:r>
      <w:r>
        <w:rPr>
          <w:rFonts w:ascii="Yu Gothic" w:cs="Yu Gothic" w:eastAsia="Yu Gothic" w:hAnsi="Yu Gothic"/>
          <w:b/>
          <w:bCs/>
          <w:color w:val="B85C00"/>
          <w:sz w:val="20"/>
          <w:szCs w:val="20"/>
        </w:rPr>
        <w:t xml:space="preserve">　◀ 統制 D-C1（S3063）</w:t>
      </w:r>
    </w:p>
    <w:p>
      <w:r>
        <w:rPr>
          <w:rFonts w:ascii="Yu Gothic" w:cs="Yu Gothic" w:eastAsia="Yu Gothic" w:hAnsi="Yu Gothic"/>
          <w:sz w:val="20"/>
          <w:szCs w:val="20"/>
        </w:rPr>
        <w:t xml:space="preserve">3064. 件数差・金額差・未受渡・取消反映漏れの有無を判定する。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3066. 会計システムが手数料収入・スプレッド収益・売買損益の計上仕訳と預り暗号資産・区分管理金銭の残高更新仕訳を生成する。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3067. 未約定/取消除外・期ずれ調整等の手修正・調整仕訳が必要か判定する。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3069. 承認済み収益・残高仕訳を会計システムの総勘定元帳へ転記する。</w:t>
      </w:r>
      <w:r>
        <w:rPr>
          <w:rFonts w:ascii="Yu Gothic" w:cs="Yu Gothic" w:eastAsia="Yu Gothic" w:hAnsi="Yu Gothic"/>
          <w:b/>
          <w:bCs/>
          <w:color w:val="B85C00"/>
          <w:sz w:val="20"/>
          <w:szCs w:val="20"/>
        </w:rPr>
        <w:t xml:space="preserve"/>
      </w:r>
    </w:p>
    <w:p>
      <w:r>
        <w:rPr>
          <w:rFonts w:ascii="Yu Gothic" w:cs="Yu Gothic" w:eastAsia="Yu Gothic" w:hAnsi="Yu Gothic"/>
          <w:sz w:val="20"/>
          <w:szCs w:val="20"/>
        </w:rPr>
        <w:t xml:space="preserve">3070. 計上収益とBIで再集計した理論収益を分析的に比較し、閾値超過差異を調査する（C3）。</w:t>
      </w:r>
      <w:r>
        <w:rPr>
          <w:rFonts w:ascii="Yu Gothic" w:cs="Yu Gothic" w:eastAsia="Yu Gothic" w:hAnsi="Yu Gothic"/>
          <w:b/>
          <w:bCs/>
          <w:color w:val="B85C00"/>
          <w:sz w:val="20"/>
          <w:szCs w:val="20"/>
        </w:rPr>
        <w:t xml:space="preserve">　◀ 統制 D-C3（S3070）</w:t>
      </w:r>
    </w:p>
    <w:p>
      <w:r>
        <w:rPr>
          <w:rFonts w:ascii="Yu Gothic" w:cs="Yu Gothic" w:eastAsia="Yu Gothic" w:hAnsi="Yu Gothic"/>
          <w:sz w:val="20"/>
          <w:szCs w:val="20"/>
        </w:rPr>
        <w:t xml:space="preserve">3071. 照合・計上・転記・差異分析の完了をもって取引執行の日次残高/収益計上を確定し終了する。</w:t>
      </w:r>
      <w:r>
        <w:rPr>
          <w:rFonts w:ascii="Yu Gothic" w:cs="Yu Gothic" w:eastAsia="Yu Gothic" w:hAnsi="Yu Gothic"/>
          <w:b/>
          <w:bCs/>
          <w:color w:val="B85C00"/>
          <w:sz w:val="20"/>
          <w:szCs w:val="20"/>
        </w:rPr>
        <w:t xml:space="preserve"/>
      </w:r>
    </w:p>
    <w:p>
      <w:r>
        <w:rPr>
          <w:rFonts w:ascii="Yu Gothic" w:cs="Yu Gothic" w:eastAsia="Yu Gothic" w:hAnsi="Yu Gothic"/>
          <w:b/>
          <w:bCs/>
          <w:color w:val="B85C00"/>
          <w:sz w:val="22"/>
          <w:szCs w:val="22"/>
        </w:rPr>
        <w:t xml:space="preserve">【例外処理】</w:t>
      </w:r>
    </w:p>
    <w:p>
      <w:r>
        <w:rPr>
          <w:rFonts w:ascii="Yu Gothic" w:cs="Yu Gothic" w:eastAsia="Yu Gothic" w:hAnsi="Yu Gothic"/>
          <w:color w:val="555555"/>
          <w:sz w:val="20"/>
          <w:szCs w:val="20"/>
        </w:rPr>
        <w:t xml:space="preserve">・不一致は連携を保留し原因を特定・是正して再連携。完了まで日次決算を締めない（C1・例外フロー）。</w:t>
      </w:r>
    </w:p>
    <w:p>
      <w:r>
        <w:rPr>
          <w:rFonts w:ascii="Yu Gothic" w:cs="Yu Gothic" w:eastAsia="Yu Gothic" w:hAnsi="Yu Gothic"/>
          <w:color w:val="555555"/>
          <w:sz w:val="20"/>
          <w:szCs w:val="20"/>
        </w:rPr>
        <w:t xml:space="preserve">・起票担当の調整仕訳を課長が約定突合証跡付きで承認、決算跨ぎは財務経理部長が追加承認（C2・例外フロー）。</w:t>
      </w:r>
    </w:p>
    <w:p>
      <w:r>
        <w:rPr>
          <w:rFonts w:ascii="Yu Gothic" w:cs="Yu Gothic" w:eastAsia="Yu Gothic" w:hAnsi="Yu Gothic"/>
          <w:b/>
          <w:bCs/>
          <w:sz w:val="22"/>
          <w:szCs w:val="22"/>
        </w:rPr>
        <w:t xml:space="preserve">【規程・マニュアル】</w:t>
      </w:r>
    </w:p>
    <w:p>
      <w:r>
        <w:rPr>
          <w:rFonts w:ascii="Yu Gothic" w:cs="Yu Gothic" w:eastAsia="Yu Gothic" w:hAnsi="Yu Gothic"/>
          <w:sz w:val="20"/>
          <w:szCs w:val="20"/>
        </w:rPr>
        <w:t xml:space="preserve">・経理規程 第10条</w:t>
      </w:r>
    </w:p>
    <w:p>
      <w:r>
        <w:rPr>
          <w:rFonts w:ascii="Yu Gothic" w:cs="Yu Gothic" w:eastAsia="Yu Gothic" w:hAnsi="Yu Gothic"/>
          <w:sz w:val="20"/>
          <w:szCs w:val="20"/>
        </w:rPr>
        <w:t xml:space="preserve">・収益認識規程</w:t>
      </w:r>
    </w:p>
    <w:p>
      <w:r>
        <w:rPr>
          <w:rFonts w:ascii="Yu Gothic" w:cs="Yu Gothic" w:eastAsia="Yu Gothic" w:hAnsi="Yu Gothic"/>
          <w:sz w:val="20"/>
          <w:szCs w:val="20"/>
        </w:rPr>
        <w:t xml:space="preserve">・SOP-ACC-021</w:t>
      </w:r>
    </w:p>
    <w:p>
      <w:r>
        <w:rPr>
          <w:rFonts w:ascii="Yu Gothic" w:cs="Yu Gothic" w:eastAsia="Yu Gothic" w:hAnsi="Yu Gothic"/>
          <w:sz w:val="20"/>
          <w:szCs w:val="20"/>
        </w:rPr>
        <w:t xml:space="preserve">・経理規程 第12条</w:t>
      </w:r>
    </w:p>
    <w:p>
      <w:r>
        <w:rPr>
          <w:rFonts w:ascii="Yu Gothic" w:cs="Yu Gothic" w:eastAsia="Yu Gothic" w:hAnsi="Yu Gothic"/>
          <w:sz w:val="20"/>
          <w:szCs w:val="20"/>
        </w:rPr>
        <w:t xml:space="preserve">・経理規程 第10条、収益認識規程（手数料</w:t>
      </w:r>
    </w:p>
    <w:p>
      <w:r>
        <w:rPr>
          <w:rFonts w:ascii="Yu Gothic" w:cs="Yu Gothic" w:eastAsia="Yu Gothic" w:hAnsi="Yu Gothic"/>
          <w:sz w:val="20"/>
          <w:szCs w:val="20"/>
        </w:rPr>
        <w:t xml:space="preserve">・スプレッド=約定時）、システム運用手順書 SOP-ACC-021</w:t>
      </w:r>
    </w:p>
    <w:p>
      <w:r>
        <w:rPr>
          <w:rFonts w:ascii="Yu Gothic" w:cs="Yu Gothic" w:eastAsia="Yu Gothic" w:hAnsi="Yu Gothic"/>
          <w:sz w:val="20"/>
          <w:szCs w:val="20"/>
        </w:rPr>
        <w:t xml:space="preserve">・経理規程 第12条（仕訳承認）、収益認識規程、職務権限規程</w:t>
      </w:r>
    </w:p>
    <w:p>
      <w:r>
        <w:rPr>
          <w:rFonts w:ascii="Yu Gothic" w:cs="Yu Gothic" w:eastAsia="Yu Gothic" w:hAnsi="Yu Gothic"/>
          <w:sz w:val="20"/>
          <w:szCs w:val="20"/>
        </w:rPr>
        <w:t xml:space="preserve">・収益認識規程、経理規程 第10条</w:t>
      </w:r>
    </w:p>
    <w:p>
      <w:r>
        <w:rPr>
          <w:rFonts w:ascii="Yu Gothic" w:cs="Yu Gothic" w:eastAsia="Yu Gothic" w:hAnsi="Yu Gothic"/>
          <w:sz w:val="20"/>
          <w:szCs w:val="20"/>
        </w:rPr>
        <w:t xml:space="preserve">・経理規程 第10条、収益認識規程、期末決算手続規程（正本:F210）</w:t>
      </w:r>
    </w:p>
    <w:p>
      <w:r>
        <w:rPr>
          <w:rFonts w:ascii="Yu Gothic" w:cs="Yu Gothic" w:eastAsia="Yu Gothic" w:hAnsi="Yu Gothic"/>
          <w:b/>
          <w:bCs/>
          <w:sz w:val="22"/>
          <w:szCs w:val="22"/>
        </w:rPr>
        <w:t xml:space="preserve">【コントロール】</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9%"/>
            <w:shd w:fill="E8EEF7" w:color="E8EEF7" w:val="solid"/>
          </w:tcPr>
          <w:p>
            <w:r>
              <w:rPr>
                <w:rFonts w:ascii="Yu Gothic" w:cs="Yu Gothic" w:eastAsia="Yu Gothic" w:hAnsi="Yu Gothic"/>
                <w:b/>
                <w:bCs/>
                <w:sz w:val="17"/>
                <w:szCs w:val="17"/>
              </w:rPr>
              <w:t xml:space="preserve">統制No
(ID)</w:t>
            </w:r>
          </w:p>
        </w:tc>
        <w:tc>
          <w:tcPr>
            <w:tcW w:type="pct" w:w="38%"/>
            <w:shd w:fill="E8EEF7" w:color="E8EEF7" w:val="solid"/>
          </w:tcPr>
          <w:p>
            <w:r>
              <w:rPr>
                <w:rFonts w:ascii="Yu Gothic" w:cs="Yu Gothic" w:eastAsia="Yu Gothic" w:hAnsi="Yu Gothic"/>
                <w:b/>
                <w:bCs/>
                <w:sz w:val="17"/>
                <w:szCs w:val="17"/>
              </w:rPr>
              <w:t xml:space="preserve">統制目標／統制内容</w:t>
            </w:r>
          </w:p>
        </w:tc>
        <w:tc>
          <w:tcPr>
            <w:tcW w:type="pct" w:w="13%"/>
            <w:shd w:fill="E8EEF7" w:color="E8EEF7" w:val="solid"/>
          </w:tcPr>
          <w:p>
            <w:r>
              <w:rPr>
                <w:rFonts w:ascii="Yu Gothic" w:cs="Yu Gothic" w:eastAsia="Yu Gothic" w:hAnsi="Yu Gothic"/>
                <w:b/>
                <w:bCs/>
                <w:sz w:val="17"/>
                <w:szCs w:val="17"/>
              </w:rPr>
              <w:t xml:space="preserve">頻度／実施形態／種類</w:t>
            </w:r>
          </w:p>
        </w:tc>
        <w:tc>
          <w:tcPr>
            <w:tcW w:type="pct" w:w="4%"/>
            <w:shd w:fill="E8EEF7" w:color="E8EEF7" w:val="solid"/>
          </w:tcPr>
          <w:p>
            <w:pPr>
              <w:jc w:val="center"/>
            </w:pPr>
            <w:r>
              <w:rPr>
                <w:rFonts w:ascii="Yu Gothic" w:cs="Yu Gothic" w:eastAsia="Yu Gothic" w:hAnsi="Yu Gothic"/>
                <w:b/>
                <w:bCs/>
                <w:sz w:val="17"/>
                <w:szCs w:val="17"/>
              </w:rPr>
              <w:t xml:space="preserve">KC</w:t>
            </w:r>
          </w:p>
        </w:tc>
        <w:tc>
          <w:tcPr>
            <w:tcW w:type="pct" w:w="22%"/>
            <w:shd w:fill="E8EEF7" w:color="E8EEF7" w:val="solid"/>
          </w:tcPr>
          <w:p>
            <w:r>
              <w:rPr>
                <w:rFonts w:ascii="Yu Gothic" w:cs="Yu Gothic" w:eastAsia="Yu Gothic" w:hAnsi="Yu Gothic"/>
                <w:b/>
                <w:bCs/>
                <w:sz w:val="17"/>
                <w:szCs w:val="17"/>
              </w:rPr>
              <w:t xml:space="preserve">職務分掌(SoD)・根拠規程</w:t>
            </w:r>
          </w:p>
        </w:tc>
        <w:tc>
          <w:tcPr>
            <w:tcW w:type="pct" w:w="14%"/>
            <w:shd w:fill="E8EEF7" w:color="E8EEF7" w:val="solid"/>
          </w:tcPr>
          <w:p>
            <w:r>
              <w:rPr>
                <w:rFonts w:ascii="Yu Gothic" w:cs="Yu Gothic" w:eastAsia="Yu Gothic" w:hAnsi="Yu Gothic"/>
                <w:b/>
                <w:bCs/>
                <w:sz w:val="17"/>
                <w:szCs w:val="17"/>
              </w:rPr>
              <w:t xml:space="preserve">証憑</w:t>
            </w:r>
          </w:p>
        </w:tc>
      </w:tr>
      <w:tr>
        <w:tc>
          <w:tcPr>
            <w:tcW w:type="pct" w:w="9%"/>
          </w:tcPr>
          <w:p>
            <w:r>
              <w:rPr>
                <w:rFonts w:ascii="Yu Gothic" w:cs="Yu Gothic" w:eastAsia="Yu Gothic" w:hAnsi="Yu Gothic"/>
                <w:b/>
                <w:bCs/>
                <w:sz w:val="17"/>
                <w:szCs w:val="17"/>
              </w:rPr>
              <w:t xml:space="preserve">D-C1</w:t>
            </w:r>
          </w:p>
          <w:p>
            <w:r>
              <w:rPr>
                <w:rFonts w:ascii="Yu Gothic" w:cs="Yu Gothic" w:eastAsia="Yu Gothic" w:hAnsi="Yu Gothic"/>
                <w:color w:val="888888"/>
                <w:sz w:val="17"/>
                <w:szCs w:val="17"/>
              </w:rPr>
              <w:t xml:space="preserve">FN-CTRL-050</w:t>
            </w:r>
          </w:p>
        </w:tc>
        <w:tc>
          <w:tcPr>
            <w:tcW w:type="pct" w:w="38%"/>
          </w:tcPr>
          <w:p>
            <w:r>
              <w:rPr>
                <w:rFonts w:ascii="Yu Gothic" w:cs="Yu Gothic" w:eastAsia="Yu Gothic" w:hAnsi="Yu Gothic"/>
                <w:b/>
                <w:bCs/>
                <w:color w:val="2B5797"/>
                <w:sz w:val="17"/>
                <w:szCs w:val="17"/>
              </w:rPr>
              <w:t xml:space="preserve">【目標】全約定が漏れなく重複なく正しい金額で残高・収益に連携され、受渡と帳簿が一致すること（C・E・V）</w:t>
            </w:r>
          </w:p>
          <w:p>
            <w:r>
              <w:rPr>
                <w:rFonts w:ascii="Yu Gothic" w:cs="Yu Gothic" w:eastAsia="Yu Gothic" w:hAnsi="Yu Gothic"/>
                <w:sz w:val="17"/>
                <w:szCs w:val="17"/>
              </w:rPr>
              <w:t xml:space="preserve">財務経理部・取引会計課は、毎営業日、取引システムの確定約定明細を会計システムへ自動連携し、約定件数・約定数量・約定金額・手数料・スプレッドの合計を、連携前後で件数・金額・ハッシュ照合する（三点照合）。あわせて約定から生成された残高更新（預り暗号資産・区分管理金銭）と顧客受渡実績を突合し、不一致（件数差・金額差・未受渡・取消反映漏れ）が検出された場合は連携を保留し、取引会計課担当が原因を特定・是正のうえ再連携する。是正・再連携完了まで日次決算（収益計上・残高確定）を締めない。照合結果は取引会計課長が承認する。</w:t>
            </w:r>
          </w:p>
        </w:tc>
        <w:tc>
          <w:tcPr>
            <w:tcW w:type="pct" w:w="13%"/>
          </w:tcPr>
          <w:p>
            <w:r>
              <w:rPr>
                <w:rFonts w:ascii="Yu Gothic" w:cs="Yu Gothic" w:eastAsia="Yu Gothic" w:hAnsi="Yu Gothic"/>
                <w:sz w:val="17"/>
                <w:szCs w:val="17"/>
              </w:rPr>
              <w:t xml:space="preserve">日次／IT依存手動／照合・防止的</w:t>
            </w:r>
          </w:p>
        </w:tc>
        <w:tc>
          <w:tcPr>
            <w:tcW w:type="pct" w:w="4%"/>
          </w:tcPr>
          <w:p>
            <w:pPr>
              <w:jc w:val="center"/>
            </w:pPr>
            <w:r>
              <w:rPr>
                <w:rFonts w:ascii="Yu Gothic" w:cs="Yu Gothic" w:eastAsia="Yu Gothic" w:hAnsi="Yu Gothic"/>
                <w:sz w:val="17"/>
                <w:szCs w:val="17"/>
              </w:rPr>
              <w:t xml:space="preserve">★</w:t>
            </w:r>
          </w:p>
        </w:tc>
        <w:tc>
          <w:tcPr>
            <w:tcW w:type="pct" w:w="22%"/>
          </w:tcPr>
          <w:p>
            <w:r>
              <w:rPr>
                <w:rFonts w:ascii="Yu Gothic" w:cs="Yu Gothic" w:eastAsia="Yu Gothic" w:hAnsi="Yu Gothic"/>
                <w:sz w:val="17"/>
                <w:szCs w:val="17"/>
              </w:rPr>
              <w:t xml:space="preserve">約定データを生成するトレーディング部と、会計連携・照合・収益計上を行う財務経理部を分離。連携実行担当（取引会計課担当）と照合承認者（取引会計課長）を分離。</w:t>
            </w:r>
          </w:p>
          <w:p>
            <w:r>
              <w:rPr>
                <w:rFonts w:ascii="Yu Gothic" w:cs="Yu Gothic" w:eastAsia="Yu Gothic" w:hAnsi="Yu Gothic"/>
                <w:color w:val="888888"/>
                <w:sz w:val="17"/>
                <w:szCs w:val="17"/>
              </w:rPr>
              <w:t xml:space="preserve">根拠：経理規程 第10条、収益認識規程（手数料/スプレッド=約定時）、システム運用手順書 SOP-ACC-021</w:t>
            </w:r>
          </w:p>
        </w:tc>
        <w:tc>
          <w:tcPr>
            <w:tcW w:type="pct" w:w="14%"/>
          </w:tcPr>
          <w:p>
            <w:r>
              <w:rPr>
                <w:rFonts w:ascii="Yu Gothic" w:cs="Yu Gothic" w:eastAsia="Yu Gothic" w:hAnsi="Yu Gothic"/>
                <w:sz w:val="17"/>
                <w:szCs w:val="17"/>
              </w:rPr>
              <w:t xml:space="preserve">約定→会計連携三点照合レポート、受渡突合表、保留・再連携記録、取引会計課長承認記録（保管10年）</w:t>
            </w:r>
          </w:p>
        </w:tc>
      </w:tr>
      <w:tr>
        <w:tc>
          <w:tcPr>
            <w:tcW w:type="pct" w:w="9%"/>
          </w:tcPr>
          <w:p>
            <w:r>
              <w:rPr>
                <w:rFonts w:ascii="Yu Gothic" w:cs="Yu Gothic" w:eastAsia="Yu Gothic" w:hAnsi="Yu Gothic"/>
                <w:b/>
                <w:bCs/>
                <w:sz w:val="17"/>
                <w:szCs w:val="17"/>
              </w:rPr>
              <w:t xml:space="preserve">D-C2</w:t>
            </w:r>
          </w:p>
          <w:p>
            <w:r>
              <w:rPr>
                <w:rFonts w:ascii="Yu Gothic" w:cs="Yu Gothic" w:eastAsia="Yu Gothic" w:hAnsi="Yu Gothic"/>
                <w:color w:val="888888"/>
                <w:sz w:val="17"/>
                <w:szCs w:val="17"/>
              </w:rPr>
              <w:t xml:space="preserve">FN-CTRL-051</w:t>
            </w:r>
          </w:p>
        </w:tc>
        <w:tc>
          <w:tcPr>
            <w:tcW w:type="pct" w:w="38%"/>
          </w:tcPr>
          <w:p>
            <w:r>
              <w:rPr>
                <w:rFonts w:ascii="Yu Gothic" w:cs="Yu Gothic" w:eastAsia="Yu Gothic" w:hAnsi="Yu Gothic"/>
                <w:b/>
                <w:bCs/>
                <w:color w:val="2B5797"/>
                <w:sz w:val="17"/>
                <w:szCs w:val="17"/>
              </w:rPr>
              <w:t xml:space="preserve">【目標】連携データの恣意的手修正・架空/前倒し収益計上を承認・証跡統制で防止し、収益の実在性・期間帰属を担保（E・CO・PD）</w:t>
            </w:r>
          </w:p>
          <w:p>
            <w:r>
              <w:rPr>
                <w:rFonts w:ascii="Yu Gothic" w:cs="Yu Gothic" w:eastAsia="Yu Gothic" w:hAnsi="Yu Gothic"/>
                <w:sz w:val="17"/>
                <w:szCs w:val="17"/>
              </w:rPr>
              <w:t xml:space="preserve">会計連携後の収益計上仕訳（手数料収入・スプレッド収益・売買損益）および連携明細への手修正・調整仕訳は、起票担当が修正理由・対象約定・根拠を付して会計システムで起票し、取引会計課長（起票担当と別人）が承認した場合のみ計上される。未約定・取消約定の収益計上除外、期ずれ調整は約定明細との突合証跡を必須とし、決算をまたぐ調整は財務経理部長が追加承認する。全調整仕訳は操作者・前後値とともに監査ログに記録され、月次で内部監査がサンプル検証する。</w:t>
            </w:r>
          </w:p>
        </w:tc>
        <w:tc>
          <w:tcPr>
            <w:tcW w:type="pct" w:w="13%"/>
          </w:tcPr>
          <w:p>
            <w:r>
              <w:rPr>
                <w:rFonts w:ascii="Yu Gothic" w:cs="Yu Gothic" w:eastAsia="Yu Gothic" w:hAnsi="Yu Gothic"/>
                <w:sz w:val="17"/>
                <w:szCs w:val="17"/>
              </w:rPr>
              <w:t xml:space="preserve">都度／IT依存手動／承認・防止的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調整仕訳の起票（取引会計課担当）・承認（取引会計課長）・決算跨ぎ追加承認（財務経理部長）を分離。起票者は自己承認不可。内部監査が事後検証。</w:t>
            </w:r>
          </w:p>
          <w:p>
            <w:r>
              <w:rPr>
                <w:rFonts w:ascii="Yu Gothic" w:cs="Yu Gothic" w:eastAsia="Yu Gothic" w:hAnsi="Yu Gothic"/>
                <w:color w:val="888888"/>
                <w:sz w:val="17"/>
                <w:szCs w:val="17"/>
              </w:rPr>
              <w:t xml:space="preserve">根拠：経理規程 第12条（仕訳承認）、収益認識規程、職務権限規程</w:t>
            </w:r>
          </w:p>
        </w:tc>
        <w:tc>
          <w:tcPr>
            <w:tcW w:type="pct" w:w="14%"/>
          </w:tcPr>
          <w:p>
            <w:r>
              <w:rPr>
                <w:rFonts w:ascii="Yu Gothic" w:cs="Yu Gothic" w:eastAsia="Yu Gothic" w:hAnsi="Yu Gothic"/>
                <w:sz w:val="17"/>
                <w:szCs w:val="17"/>
              </w:rPr>
              <w:t xml:space="preserve">調整仕訳承認記録、手修正前後値ログ、期ずれ調整の約定突合証跡、内部監査サンプル検証記録（保管10年）</w:t>
            </w:r>
          </w:p>
        </w:tc>
      </w:tr>
      <w:tr>
        <w:tc>
          <w:tcPr>
            <w:tcW w:type="pct" w:w="9%"/>
          </w:tcPr>
          <w:p>
            <w:r>
              <w:rPr>
                <w:rFonts w:ascii="Yu Gothic" w:cs="Yu Gothic" w:eastAsia="Yu Gothic" w:hAnsi="Yu Gothic"/>
                <w:b/>
                <w:bCs/>
                <w:sz w:val="17"/>
                <w:szCs w:val="17"/>
              </w:rPr>
              <w:t xml:space="preserve">D-C3</w:t>
            </w:r>
          </w:p>
          <w:p>
            <w:r>
              <w:rPr>
                <w:rFonts w:ascii="Yu Gothic" w:cs="Yu Gothic" w:eastAsia="Yu Gothic" w:hAnsi="Yu Gothic"/>
                <w:color w:val="888888"/>
                <w:sz w:val="17"/>
                <w:szCs w:val="17"/>
              </w:rPr>
              <w:t xml:space="preserve">FN-CTRL-052</w:t>
            </w:r>
          </w:p>
        </w:tc>
        <w:tc>
          <w:tcPr>
            <w:tcW w:type="pct" w:w="38%"/>
          </w:tcPr>
          <w:p>
            <w:r>
              <w:rPr>
                <w:rFonts w:ascii="Yu Gothic" w:cs="Yu Gothic" w:eastAsia="Yu Gothic" w:hAnsi="Yu Gothic"/>
                <w:b/>
                <w:bCs/>
                <w:color w:val="2B5797"/>
                <w:sz w:val="17"/>
                <w:szCs w:val="17"/>
              </w:rPr>
              <w:t xml:space="preserve">【目標】計上収益と約定明細からの理論値の分析的比較により連携漏れ・金額誤りを発見（E・C）</w:t>
            </w:r>
          </w:p>
          <w:p>
            <w:r>
              <w:rPr>
                <w:rFonts w:ascii="Yu Gothic" w:cs="Yu Gothic" w:eastAsia="Yu Gothic" w:hAnsi="Yu Gothic"/>
                <w:sz w:val="17"/>
                <w:szCs w:val="17"/>
              </w:rPr>
              <w:t xml:space="preserve">トレーディング部・取引管理課は、毎日次および月末に、収益計上のBIレポーティングで集計した手数料・スプレッド・売買損益の計上額と、取引システムの約定明細から独立に再集計した理論収益額を分析的に比較し、銘柄別・約定方式別の差異率が許容閾値を超える場合は原因（連携漏れ・料率誤り・付替え）を調査する。差異が解消するまで月次収益を確定しない。</w:t>
            </w:r>
          </w:p>
        </w:tc>
        <w:tc>
          <w:tcPr>
            <w:tcW w:type="pct" w:w="13%"/>
          </w:tcPr>
          <w:p>
            <w:r>
              <w:rPr>
                <w:rFonts w:ascii="Yu Gothic" w:cs="Yu Gothic" w:eastAsia="Yu Gothic" w:hAnsi="Yu Gothic"/>
                <w:sz w:val="17"/>
                <w:szCs w:val="17"/>
              </w:rPr>
              <w:t xml:space="preserve">日次／IT依存手動／分析・発見的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連携・計上を行う財務経理部と、独立に理論収益を再集計し分析する取引管理課を分離。</w:t>
            </w:r>
          </w:p>
          <w:p>
            <w:r>
              <w:rPr>
                <w:rFonts w:ascii="Yu Gothic" w:cs="Yu Gothic" w:eastAsia="Yu Gothic" w:hAnsi="Yu Gothic"/>
                <w:color w:val="888888"/>
                <w:sz w:val="17"/>
                <w:szCs w:val="17"/>
              </w:rPr>
              <w:t xml:space="preserve">根拠：収益認識規程、経理規程 第10条</w:t>
            </w:r>
          </w:p>
        </w:tc>
        <w:tc>
          <w:tcPr>
            <w:tcW w:type="pct" w:w="14%"/>
          </w:tcPr>
          <w:p>
            <w:r>
              <w:rPr>
                <w:rFonts w:ascii="Yu Gothic" w:cs="Yu Gothic" w:eastAsia="Yu Gothic" w:hAnsi="Yu Gothic"/>
                <w:sz w:val="17"/>
                <w:szCs w:val="17"/>
              </w:rPr>
              <w:t xml:space="preserve">収益差異分析レポート、理論収益再集計表、差異調査記録（保管10年）</w:t>
            </w:r>
          </w:p>
        </w:tc>
      </w:tr>
      <w:tr>
        <w:tc>
          <w:tcPr>
            <w:tcW w:type="pct" w:w="9%"/>
          </w:tcPr>
          <w:p>
            <w:r>
              <w:rPr>
                <w:rFonts w:ascii="Yu Gothic" w:cs="Yu Gothic" w:eastAsia="Yu Gothic" w:hAnsi="Yu Gothic"/>
                <w:b/>
                <w:bCs/>
                <w:sz w:val="17"/>
                <w:szCs w:val="17"/>
              </w:rPr>
              <w:t xml:space="preserve">D-C4</w:t>
            </w:r>
          </w:p>
          <w:p>
            <w:r>
              <w:rPr>
                <w:rFonts w:ascii="Yu Gothic" w:cs="Yu Gothic" w:eastAsia="Yu Gothic" w:hAnsi="Yu Gothic"/>
                <w:color w:val="888888"/>
                <w:sz w:val="17"/>
                <w:szCs w:val="17"/>
              </w:rPr>
              <w:t xml:space="preserve">FN-CTRL-053</w:t>
            </w:r>
          </w:p>
        </w:tc>
        <w:tc>
          <w:tcPr>
            <w:tcW w:type="pct" w:w="38%"/>
          </w:tcPr>
          <w:p>
            <w:r>
              <w:rPr>
                <w:rFonts w:ascii="Yu Gothic" w:cs="Yu Gothic" w:eastAsia="Yu Gothic" w:hAnsi="Yu Gothic"/>
                <w:b/>
                <w:bCs/>
                <w:color w:val="2B5797"/>
                <w:sz w:val="17"/>
                <w:szCs w:val="17"/>
              </w:rPr>
              <w:t xml:space="preserve">【目標】日跨ぎ・期末跨ぎの約定・受渡が正しい会計期間に計上されること（CO）</w:t>
            </w:r>
          </w:p>
          <w:p>
            <w:r>
              <w:rPr>
                <w:rFonts w:ascii="Yu Gothic" w:cs="Yu Gothic" w:eastAsia="Yu Gothic" w:hAnsi="Yu Gothic"/>
                <w:sz w:val="17"/>
                <w:szCs w:val="17"/>
              </w:rPr>
              <w:t xml:space="preserve">日次の締め時刻・期末をまたぐ約定・受渡のカットオフ統制は、約定日・受渡日・締め時刻基準で会計日付・会計期間を確定し、日跨ぎ・期末跨ぎ分を正しい期間へ区分するものである。本プロセスでは取引会計課担当が締め時刻基準で会計日付区分を確認し、期末カットオフの詳細手続（期末をまたぐ約定の期間帰属判定・未収/未払計上）は期末評価プロセス(F210)の正本統制に依拠する。</w:t>
            </w:r>
          </w:p>
        </w:tc>
        <w:tc>
          <w:tcPr>
            <w:tcW w:type="pct" w:w="13%"/>
          </w:tcPr>
          <w:p>
            <w:r>
              <w:rPr>
                <w:rFonts w:ascii="Yu Gothic" w:cs="Yu Gothic" w:eastAsia="Yu Gothic" w:hAnsi="Yu Gothic"/>
                <w:sz w:val="17"/>
                <w:szCs w:val="17"/>
              </w:rPr>
              <w:t xml:space="preserve">日次／IT依存手動／確認・発見的</w:t>
            </w:r>
          </w:p>
        </w:tc>
        <w:tc>
          <w:tcPr>
            <w:tcW w:type="pct" w:w="4%"/>
          </w:tcPr>
          <w:p>
            <w:pPr>
              <w:jc w:val="center"/>
            </w:pPr>
            <w:r>
              <w:rPr>
                <w:rFonts w:ascii="Yu Gothic" w:cs="Yu Gothic" w:eastAsia="Yu Gothic" w:hAnsi="Yu Gothic"/>
                <w:sz w:val="17"/>
                <w:szCs w:val="17"/>
              </w:rPr>
              <w:t xml:space="preserve"/>
            </w:r>
          </w:p>
        </w:tc>
        <w:tc>
          <w:tcPr>
            <w:tcW w:type="pct" w:w="22%"/>
          </w:tcPr>
          <w:p>
            <w:r>
              <w:rPr>
                <w:rFonts w:ascii="Yu Gothic" w:cs="Yu Gothic" w:eastAsia="Yu Gothic" w:hAnsi="Yu Gothic"/>
                <w:sz w:val="17"/>
                <w:szCs w:val="17"/>
              </w:rPr>
              <w:t xml:space="preserve">約定を生成するトレーディング部と会計日付を確定する取引会計課を分離。期末カットオフ詳細はF210正本に依拠。</w:t>
            </w:r>
          </w:p>
          <w:p>
            <w:r>
              <w:rPr>
                <w:rFonts w:ascii="Yu Gothic" w:cs="Yu Gothic" w:eastAsia="Yu Gothic" w:hAnsi="Yu Gothic"/>
                <w:color w:val="888888"/>
                <w:sz w:val="17"/>
                <w:szCs w:val="17"/>
              </w:rPr>
              <w:t xml:space="preserve">根拠：経理規程 第10条、収益認識規程、期末決算手続規程（正本:F210）</w:t>
            </w:r>
          </w:p>
        </w:tc>
        <w:tc>
          <w:tcPr>
            <w:tcW w:type="pct" w:w="14%"/>
          </w:tcPr>
          <w:p>
            <w:r>
              <w:rPr>
                <w:rFonts w:ascii="Yu Gothic" w:cs="Yu Gothic" w:eastAsia="Yu Gothic" w:hAnsi="Yu Gothic"/>
                <w:sz w:val="17"/>
                <w:szCs w:val="17"/>
              </w:rPr>
              <w:t xml:space="preserve">会計日付区分確認記録、日跨ぎ約定一覧、F210期末カットオフ手続（参照）（保管10年）</w:t>
            </w:r>
          </w:p>
        </w:tc>
      </w:tr>
    </w:tbl>
    <w:p>
      <w:r>
        <w:rPr>
          <w:rFonts w:ascii="Yu Gothic" w:cs="Yu Gothic" w:eastAsia="Yu Gothic" w:hAnsi="Yu Gothic"/>
          <w:sz w:val="20"/>
          <w:szCs w:val="20"/>
        </w:rPr>
        <w:t xml:space="preserve"/>
      </w:r>
    </w:p>
    <w:p>
      <w:pPr>
        <w:pStyle w:val="Heading2"/>
      </w:pPr>
      <w:r>
        <w:rPr>
          <w:rFonts w:ascii="Yu Gothic" w:cs="Yu Gothic" w:eastAsia="Yu Gothic" w:hAnsi="Yu Gothic"/>
          <w:b/>
          <w:bCs/>
          <w:sz w:val="24"/>
          <w:szCs w:val="24"/>
        </w:rPr>
        <w:t xml:space="preserve">改訂履歴</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12%"/>
            <w:shd w:fill="E8EEF7" w:color="E8EEF7" w:val="solid"/>
          </w:tcPr>
          <w:p>
            <w:r>
              <w:rPr>
                <w:rFonts w:ascii="Yu Gothic" w:cs="Yu Gothic" w:eastAsia="Yu Gothic" w:hAnsi="Yu Gothic"/>
                <w:b/>
                <w:bCs/>
                <w:sz w:val="17"/>
                <w:szCs w:val="17"/>
              </w:rPr>
              <w:t xml:space="preserve">版</w:t>
            </w:r>
          </w:p>
        </w:tc>
        <w:tc>
          <w:tcPr>
            <w:tcW w:type="pct" w:w="20%"/>
            <w:shd w:fill="E8EEF7" w:color="E8EEF7" w:val="solid"/>
          </w:tcPr>
          <w:p>
            <w:r>
              <w:rPr>
                <w:rFonts w:ascii="Yu Gothic" w:cs="Yu Gothic" w:eastAsia="Yu Gothic" w:hAnsi="Yu Gothic"/>
                <w:b/>
                <w:bCs/>
                <w:sz w:val="17"/>
                <w:szCs w:val="17"/>
              </w:rPr>
              <w:t xml:space="preserve">改訂日</w:t>
            </w:r>
          </w:p>
        </w:tc>
        <w:tc>
          <w:tcPr>
            <w:tcW w:type="pct" w:w="48%"/>
            <w:shd w:fill="E8EEF7" w:color="E8EEF7" w:val="solid"/>
          </w:tcPr>
          <w:p>
            <w:r>
              <w:rPr>
                <w:rFonts w:ascii="Yu Gothic" w:cs="Yu Gothic" w:eastAsia="Yu Gothic" w:hAnsi="Yu Gothic"/>
                <w:b/>
                <w:bCs/>
                <w:sz w:val="17"/>
                <w:szCs w:val="17"/>
              </w:rPr>
              <w:t xml:space="preserve">改訂内容</w:t>
            </w:r>
          </w:p>
        </w:tc>
        <w:tc>
          <w:tcPr>
            <w:tcW w:type="pct" w:w="20%"/>
            <w:shd w:fill="E8EEF7" w:color="E8EEF7" w:val="solid"/>
          </w:tcPr>
          <w:p>
            <w:r>
              <w:rPr>
                <w:rFonts w:ascii="Yu Gothic" w:cs="Yu Gothic" w:eastAsia="Yu Gothic" w:hAnsi="Yu Gothic"/>
                <w:b/>
                <w:bCs/>
                <w:sz w:val="17"/>
                <w:szCs w:val="17"/>
              </w:rPr>
              <w:t xml:space="preserve">承認者</w:t>
            </w:r>
          </w:p>
        </w:tc>
      </w:tr>
      <w:tr>
        <w:tc>
          <w:p>
            <w:r>
              <w:rPr>
                <w:rFonts w:ascii="Yu Gothic" w:cs="Yu Gothic" w:eastAsia="Yu Gothic" w:hAnsi="Yu Gothic"/>
                <w:sz w:val="17"/>
                <w:szCs w:val="17"/>
              </w:rPr>
              <w:t xml:space="preserve">1.0</w:t>
            </w:r>
          </w:p>
        </w:tc>
        <w:tc>
          <w:p>
            <w:r>
              <w:rPr>
                <w:rFonts w:ascii="Yu Gothic" w:cs="Yu Gothic" w:eastAsia="Yu Gothic" w:hAnsi="Yu Gothic"/>
                <w:sz w:val="17"/>
                <w:szCs w:val="17"/>
              </w:rPr>
              <w:t xml:space="preserve">2026-04-01</w:t>
            </w:r>
          </w:p>
        </w:tc>
        <w:tc>
          <w:p>
            <w:r>
              <w:rPr>
                <w:rFonts w:ascii="Yu Gothic" w:cs="Yu Gothic" w:eastAsia="Yu Gothic" w:hAnsi="Yu Gothic"/>
                <w:sz w:val="17"/>
                <w:szCs w:val="17"/>
              </w:rPr>
              <w:t xml:space="preserve">初版作成</w:t>
            </w:r>
          </w:p>
        </w:tc>
        <w:tc>
          <w:p>
            <w:r>
              <w:rPr>
                <w:rFonts w:ascii="Yu Gothic" w:cs="Yu Gothic" w:eastAsia="Yu Gothic" w:hAnsi="Yu Gothic"/>
                <w:sz w:val="17"/>
                <w:szCs w:val="17"/>
              </w:rPr>
              <w:t xml:space="preserve">内部統制統括責任者</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内部統制3点セット自動生成アプリ</dc:creator>
  <cp:lastModifiedBy>Un-named</cp:lastModifiedBy>
  <cp:revision>1</cp:revision>
  <dcterms:created xsi:type="dcterms:W3CDTF">2026-07-03T07:34:46.549Z</dcterms:created>
  <dcterms:modified xsi:type="dcterms:W3CDTF">2026-07-03T07:34:46.549Z</dcterms:modified>
</cp:coreProperties>
</file>

<file path=docProps/custom.xml><?xml version="1.0" encoding="utf-8"?>
<Properties xmlns="http://schemas.openxmlformats.org/officeDocument/2006/custom-properties" xmlns:vt="http://schemas.openxmlformats.org/officeDocument/2006/docPropsVTypes"/>
</file>