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rFonts w:eastAsia="Hiragino Sans" w:ascii="Hiragino Sans" w:hAnsi="Hiragino Sans"/>
          <w:b/>
          <w:color w:val="C0392B"/>
          <w:sz w:val="22"/>
        </w:rPr>
        <w:t>INTERNAL AUDIT CHARTER (FULL TEXT)</w:t>
      </w:r>
    </w:p>
    <w:p>
      <w:r>
        <w:rPr>
          <w:rFonts w:eastAsia="Hiragino Sans" w:ascii="Hiragino Sans" w:hAnsi="Hiragino Sans"/>
          <w:b/>
          <w:color w:val="24406B"/>
          <w:sz w:val="48"/>
        </w:rPr>
        <w:t>内部監査規程（O-07）</w:t>
      </w:r>
    </w:p>
    <w:p>
      <w:r>
        <w:rPr>
          <w:rFonts w:eastAsia="Hiragino Sans" w:ascii="Hiragino Sans" w:hAnsi="Hiragino Sans"/>
          <w:color w:val="444444"/>
          <w:sz w:val="25"/>
        </w:rPr>
        <w:t>サンプル製造株式会社／第4版・2025年4月1日施行</w:t>
      </w:r>
    </w:p>
    <w:p/>
    <w:tbl>
      <w:tblPr>
        <w:tblStyle w:val="TableGrid"/>
        <w:tblW w:type="auto" w:w="0"/>
        <w:tblLook w:firstColumn="1" w:firstRow="1" w:lastColumn="0" w:lastRow="0" w:noHBand="0" w:noVBand="1" w:val="04A0"/>
      </w:tblPr>
      <w:tblGrid>
        <w:gridCol w:w="4986"/>
        <w:gridCol w:w="4986"/>
      </w:tblGrid>
      <w:tr>
        <w:tc>
          <w:tcPr>
            <w:tcW w:type="dxa" w:w="4986"/>
            <w:shd w:val="clear" w:fill="F3F4F6"/>
          </w:tcPr>
          <w:p>
            <w:r/>
            <w:r>
              <w:rPr>
                <w:rFonts w:eastAsia="Hiragino Sans" w:ascii="Hiragino Sans" w:hAnsi="Hiragino Sans"/>
                <w:b/>
                <w:sz w:val="19"/>
              </w:rPr>
              <w:t>規程番号</w:t>
            </w:r>
          </w:p>
        </w:tc>
        <w:tc>
          <w:tcPr>
            <w:tcW w:type="dxa" w:w="4986"/>
          </w:tcPr>
          <w:p>
            <w:r/>
            <w:r>
              <w:rPr>
                <w:rFonts w:eastAsia="Hiragino Sans" w:ascii="Hiragino Sans" w:hAnsi="Hiragino Sans"/>
                <w:b w:val="0"/>
                <w:sz w:val="19"/>
              </w:rPr>
              <w:t>O-07</w:t>
            </w:r>
          </w:p>
        </w:tc>
      </w:tr>
      <w:tr>
        <w:tc>
          <w:tcPr>
            <w:tcW w:type="dxa" w:w="4986"/>
            <w:shd w:val="clear" w:fill="F3F4F6"/>
          </w:tcPr>
          <w:p>
            <w:r/>
            <w:r>
              <w:rPr>
                <w:rFonts w:eastAsia="Hiragino Sans" w:ascii="Hiragino Sans" w:hAnsi="Hiragino Sans"/>
                <w:b/>
                <w:sz w:val="19"/>
              </w:rPr>
              <w:t>上位規程</w:t>
            </w:r>
          </w:p>
        </w:tc>
        <w:tc>
          <w:tcPr>
            <w:tcW w:type="dxa" w:w="4986"/>
          </w:tcPr>
          <w:p>
            <w:r/>
            <w:r>
              <w:rPr>
                <w:rFonts w:eastAsia="Hiragino Sans" w:ascii="Hiragino Sans" w:hAnsi="Hiragino Sans"/>
                <w:b w:val="0"/>
                <w:sz w:val="19"/>
              </w:rPr>
              <w:t>K-01 定款／O-01 取締役会規程／O-02 組織規程／O-04 監査役会規程（参照）</w:t>
            </w:r>
          </w:p>
        </w:tc>
      </w:tr>
      <w:tr>
        <w:tc>
          <w:tcPr>
            <w:tcW w:type="dxa" w:w="4986"/>
            <w:shd w:val="clear" w:fill="F3F4F6"/>
          </w:tcPr>
          <w:p>
            <w:r/>
            <w:r>
              <w:rPr>
                <w:rFonts w:eastAsia="Hiragino Sans" w:ascii="Hiragino Sans" w:hAnsi="Hiragino Sans"/>
                <w:b/>
                <w:sz w:val="19"/>
              </w:rPr>
              <w:t>関連規程</w:t>
            </w:r>
          </w:p>
        </w:tc>
        <w:tc>
          <w:tcPr>
            <w:tcW w:type="dxa" w:w="4986"/>
          </w:tcPr>
          <w:p>
            <w:r/>
            <w:r>
              <w:rPr>
                <w:rFonts w:eastAsia="Hiragino Sans" w:ascii="Hiragino Sans" w:hAnsi="Hiragino Sans"/>
                <w:b w:val="0"/>
                <w:sz w:val="19"/>
              </w:rPr>
              <w:t>職務権限規程（第5版）／職務分掌規程（第6版）／内部通報規程／財務報告に係る内部統制基本方針</w:t>
            </w:r>
          </w:p>
        </w:tc>
      </w:tr>
      <w:tr>
        <w:tc>
          <w:tcPr>
            <w:tcW w:type="dxa" w:w="4986"/>
            <w:shd w:val="clear" w:fill="F3F4F6"/>
          </w:tcPr>
          <w:p>
            <w:r/>
            <w:r>
              <w:rPr>
                <w:rFonts w:eastAsia="Hiragino Sans" w:ascii="Hiragino Sans" w:hAnsi="Hiragino Sans"/>
                <w:b/>
                <w:sz w:val="19"/>
              </w:rPr>
              <w:t>準拠する基準</w:t>
            </w:r>
          </w:p>
        </w:tc>
        <w:tc>
          <w:tcPr>
            <w:tcW w:type="dxa" w:w="4986"/>
          </w:tcPr>
          <w:p>
            <w:r/>
            <w:r>
              <w:rPr>
                <w:rFonts w:eastAsia="Hiragino Sans" w:ascii="Hiragino Sans" w:hAnsi="Hiragino Sans"/>
                <w:b w:val="0"/>
                <w:sz w:val="19"/>
              </w:rPr>
              <w:t>日本内部監査協会「内部監査基準」／IIA「グローバル内部監査基準」（2025年1月9日発効）</w:t>
            </w:r>
          </w:p>
        </w:tc>
      </w:tr>
      <w:tr>
        <w:tc>
          <w:tcPr>
            <w:tcW w:type="dxa" w:w="4986"/>
            <w:shd w:val="clear" w:fill="F3F4F6"/>
          </w:tcPr>
          <w:p>
            <w:r/>
            <w:r>
              <w:rPr>
                <w:rFonts w:eastAsia="Hiragino Sans" w:ascii="Hiragino Sans" w:hAnsi="Hiragino Sans"/>
                <w:b/>
                <w:sz w:val="19"/>
              </w:rPr>
              <w:t>制定・改廃の決裁</w:t>
            </w:r>
          </w:p>
        </w:tc>
        <w:tc>
          <w:tcPr>
            <w:tcW w:type="dxa" w:w="4986"/>
          </w:tcPr>
          <w:p>
            <w:r/>
            <w:r>
              <w:rPr>
                <w:rFonts w:eastAsia="Hiragino Sans" w:ascii="Hiragino Sans" w:hAnsi="Hiragino Sans"/>
                <w:b w:val="0"/>
                <w:sz w:val="19"/>
              </w:rPr>
              <w:t>取締役会（監査役会の意見を聴取）</w:t>
            </w:r>
          </w:p>
        </w:tc>
      </w:tr>
      <w:tr>
        <w:tc>
          <w:tcPr>
            <w:tcW w:type="dxa" w:w="4986"/>
            <w:shd w:val="clear" w:fill="F3F4F6"/>
          </w:tcPr>
          <w:p>
            <w:r/>
            <w:r>
              <w:rPr>
                <w:rFonts w:eastAsia="Hiragino Sans" w:ascii="Hiragino Sans" w:hAnsi="Hiragino Sans"/>
                <w:b/>
                <w:sz w:val="19"/>
              </w:rPr>
              <w:t>版・施行日</w:t>
            </w:r>
          </w:p>
        </w:tc>
        <w:tc>
          <w:tcPr>
            <w:tcW w:type="dxa" w:w="4986"/>
          </w:tcPr>
          <w:p>
            <w:r/>
            <w:r>
              <w:rPr>
                <w:rFonts w:eastAsia="Hiragino Sans" w:ascii="Hiragino Sans" w:hAnsi="Hiragino Sans"/>
                <w:b w:val="0"/>
                <w:sz w:val="19"/>
              </w:rPr>
              <w:t>第4版／2025年4月1日</w:t>
            </w:r>
          </w:p>
        </w:tc>
      </w:tr>
      <w:tr>
        <w:tc>
          <w:tcPr>
            <w:tcW w:type="dxa" w:w="4986"/>
            <w:shd w:val="clear" w:fill="F3F4F6"/>
          </w:tcPr>
          <w:p>
            <w:r/>
            <w:r>
              <w:rPr>
                <w:rFonts w:eastAsia="Hiragino Sans" w:ascii="Hiragino Sans" w:hAnsi="Hiragino Sans"/>
                <w:b/>
                <w:sz w:val="19"/>
              </w:rPr>
              <w:t>作成</w:t>
            </w:r>
          </w:p>
        </w:tc>
        <w:tc>
          <w:tcPr>
            <w:tcW w:type="dxa" w:w="4986"/>
          </w:tcPr>
          <w:p>
            <w:r/>
            <w:r>
              <w:rPr>
                <w:rFonts w:eastAsia="Hiragino Sans" w:ascii="Hiragino Sans" w:hAnsi="Hiragino Sans"/>
                <w:b w:val="0"/>
                <w:sz w:val="19"/>
              </w:rPr>
              <w:t>cpaai.jp（AI生成ドラフト）</w:t>
            </w:r>
          </w:p>
        </w:tc>
      </w:tr>
      <w:tr>
        <w:tc>
          <w:tcPr>
            <w:tcW w:type="dxa" w:w="4986"/>
            <w:shd w:val="clear" w:fill="F3F4F6"/>
          </w:tcPr>
          <w:p>
            <w:r/>
            <w:r>
              <w:rPr>
                <w:rFonts w:eastAsia="Hiragino Sans" w:ascii="Hiragino Sans" w:hAnsi="Hiragino Sans"/>
                <w:b/>
                <w:sz w:val="19"/>
              </w:rPr>
              <w:t>査閲</w:t>
            </w:r>
          </w:p>
        </w:tc>
        <w:tc>
          <w:tcPr>
            <w:tcW w:type="dxa" w:w="4986"/>
          </w:tcPr>
          <w:p>
            <w:r/>
            <w:r>
              <w:rPr>
                <w:rFonts w:eastAsia="Hiragino Sans" w:ascii="Hiragino Sans" w:hAnsi="Hiragino Sans"/>
                <w:b w:val="0"/>
                <w:sz w:val="19"/>
              </w:rPr>
              <w:t>—</w:t>
            </w:r>
          </w:p>
        </w:tc>
      </w:tr>
    </w:tbl>
    <w:p/>
    <w:p>
      <w:pPr>
        <w:ind w:left="120"/>
        <w:shd w:val="clear" w:fill="F3F4F6"/>
        <w:pBdr>
          <w:left w:val="single" w:sz="18" w:space="6" w:color="24406B"/>
        </w:pBdr>
      </w:pPr>
      <w:r>
        <w:rPr>
          <w:rFonts w:eastAsia="Hiragino Sans" w:ascii="Hiragino Sans" w:hAnsi="Hiragino Sans"/>
          <w:b w:val="0"/>
          <w:i/>
          <w:color w:val="444444"/>
          <w:sz w:val="18"/>
        </w:rPr>
        <w:t>本規程はAIが生成したドラフトであり、公認会計士・弁護士等によるレビューを前提とする。会社名・組織名・人名・日付はすべて架空であり、実在の企業・個人とは一切関係がない。実際の制定にあたっては、自社の組織・法令・上場規則に合わせた改変と、取締役会の決議を要する。</w:t>
      </w:r>
    </w:p>
    <w:p>
      <w:r>
        <w:br w:type="page"/>
      </w:r>
    </w:p>
    <w:p>
      <w:pPr>
        <w:ind w:left="120"/>
        <w:shd w:val="clear" w:fill="F3F4F6"/>
        <w:pBdr>
          <w:left w:val="single" w:sz="18" w:space="6" w:color="24406B"/>
        </w:pBdr>
      </w:pPr>
      <w:r>
        <w:rPr>
          <w:rFonts w:eastAsia="Hiragino Sans" w:ascii="Hiragino Sans" w:hAnsi="Hiragino Sans"/>
          <w:b w:val="0"/>
          <w:i/>
          <w:color w:val="444444"/>
          <w:sz w:val="18"/>
        </w:rPr>
        <w:t>本規程はAIが生成したドラフトであり、公認会計士・弁護士等によるレビューを前提としています。会社名・組織名・人名・日付はすべて架空です。実際の制定にあたっては、自社の組織・法令・上場規則（コーポレートガバナンス・コード（2026年改訂）原則4-4の解釈指針が示す内部監査部門の直接報告の仕組み等）に合わせた改変と、取締役会の決議が必要です。</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項目</w:t>
            </w:r>
          </w:p>
        </w:tc>
        <w:tc>
          <w:tcPr>
            <w:tcW w:type="dxa" w:w="4986"/>
            <w:shd w:val="clear" w:fill="24406B"/>
          </w:tcPr>
          <w:p>
            <w:r/>
            <w:r>
              <w:rPr>
                <w:rFonts w:eastAsia="Hiragino Sans" w:ascii="Hiragino Sans" w:hAnsi="Hiragino Sans"/>
                <w:b/>
                <w:color w:val="FFFFFF"/>
                <w:sz w:val="18"/>
              </w:rPr>
              <w:t>内容</w:t>
            </w:r>
          </w:p>
        </w:tc>
      </w:tr>
      <w:tr>
        <w:tc>
          <w:tcPr>
            <w:tcW w:type="dxa" w:w="4986"/>
          </w:tcPr>
          <w:p>
            <w:r/>
            <w:r>
              <w:rPr>
                <w:rFonts w:eastAsia="Hiragino Sans" w:ascii="Hiragino Sans" w:hAnsi="Hiragino Sans"/>
                <w:b w:val="0"/>
                <w:sz w:val="18"/>
              </w:rPr>
              <w:t>規程番号</w:t>
            </w:r>
          </w:p>
        </w:tc>
        <w:tc>
          <w:tcPr>
            <w:tcW w:type="dxa" w:w="4986"/>
          </w:tcPr>
          <w:p>
            <w:r/>
            <w:r>
              <w:rPr>
                <w:rFonts w:eastAsia="Hiragino Sans" w:ascii="Hiragino Sans" w:hAnsi="Hiragino Sans"/>
                <w:b w:val="0"/>
                <w:sz w:val="18"/>
              </w:rPr>
              <w:t>O-07</w:t>
            </w:r>
          </w:p>
        </w:tc>
      </w:tr>
      <w:tr>
        <w:tc>
          <w:tcPr>
            <w:tcW w:type="dxa" w:w="4986"/>
            <w:shd w:val="clear" w:fill="F7F8FA"/>
          </w:tcPr>
          <w:p>
            <w:r/>
            <w:r>
              <w:rPr>
                <w:rFonts w:eastAsia="Hiragino Sans" w:ascii="Hiragino Sans" w:hAnsi="Hiragino Sans"/>
                <w:b w:val="0"/>
                <w:sz w:val="18"/>
              </w:rPr>
              <w:t>規程名</w:t>
            </w:r>
          </w:p>
        </w:tc>
        <w:tc>
          <w:tcPr>
            <w:tcW w:type="dxa" w:w="4986"/>
            <w:shd w:val="clear" w:fill="F7F8FA"/>
          </w:tcPr>
          <w:p>
            <w:r/>
            <w:r>
              <w:rPr>
                <w:rFonts w:eastAsia="Hiragino Sans" w:ascii="Hiragino Sans" w:hAnsi="Hiragino Sans"/>
                <w:b w:val="0"/>
                <w:sz w:val="18"/>
              </w:rPr>
              <w:t>内部監査規程</w:t>
            </w:r>
          </w:p>
        </w:tc>
      </w:tr>
      <w:tr>
        <w:tc>
          <w:tcPr>
            <w:tcW w:type="dxa" w:w="4986"/>
          </w:tcPr>
          <w:p>
            <w:r/>
            <w:r>
              <w:rPr>
                <w:rFonts w:eastAsia="Hiragino Sans" w:ascii="Hiragino Sans" w:hAnsi="Hiragino Sans"/>
                <w:b w:val="0"/>
                <w:sz w:val="18"/>
              </w:rPr>
              <w:t>上位規程</w:t>
            </w:r>
          </w:p>
        </w:tc>
        <w:tc>
          <w:tcPr>
            <w:tcW w:type="dxa" w:w="4986"/>
          </w:tcPr>
          <w:p>
            <w:r/>
            <w:r>
              <w:rPr>
                <w:rFonts w:eastAsia="Hiragino Sans" w:ascii="Hiragino Sans" w:hAnsi="Hiragino Sans"/>
                <w:b w:val="0"/>
                <w:sz w:val="18"/>
              </w:rPr>
              <w:t>K-01 定款／O-01 取締役会規程／O-02 組織規程／O-04 監査役会規程（参照）</w:t>
            </w:r>
          </w:p>
        </w:tc>
      </w:tr>
      <w:tr>
        <w:tc>
          <w:tcPr>
            <w:tcW w:type="dxa" w:w="4986"/>
            <w:shd w:val="clear" w:fill="F7F8FA"/>
          </w:tcPr>
          <w:p>
            <w:r/>
            <w:r>
              <w:rPr>
                <w:rFonts w:eastAsia="Hiragino Sans" w:ascii="Hiragino Sans" w:hAnsi="Hiragino Sans"/>
                <w:b w:val="0"/>
                <w:sz w:val="18"/>
              </w:rPr>
              <w:t>関連規程</w:t>
            </w:r>
          </w:p>
        </w:tc>
        <w:tc>
          <w:tcPr>
            <w:tcW w:type="dxa" w:w="4986"/>
            <w:shd w:val="clear" w:fill="F7F8FA"/>
          </w:tcPr>
          <w:p>
            <w:r/>
            <w:r>
              <w:rPr>
                <w:rFonts w:eastAsia="Hiragino Sans" w:ascii="Hiragino Sans" w:hAnsi="Hiragino Sans"/>
                <w:b w:val="0"/>
                <w:sz w:val="18"/>
              </w:rPr>
              <w:t>職務権限規程（第5版）／職務分掌規程（第6版）／内部通報規程／財務報告に係る内部統制基本方針</w:t>
            </w:r>
          </w:p>
        </w:tc>
      </w:tr>
      <w:tr>
        <w:tc>
          <w:tcPr>
            <w:tcW w:type="dxa" w:w="4986"/>
          </w:tcPr>
          <w:p>
            <w:r/>
            <w:r>
              <w:rPr>
                <w:rFonts w:eastAsia="Hiragino Sans" w:ascii="Hiragino Sans" w:hAnsi="Hiragino Sans"/>
                <w:b w:val="0"/>
                <w:sz w:val="18"/>
              </w:rPr>
              <w:t>準拠する基準</w:t>
            </w:r>
          </w:p>
        </w:tc>
        <w:tc>
          <w:tcPr>
            <w:tcW w:type="dxa" w:w="4986"/>
          </w:tcPr>
          <w:p>
            <w:r/>
            <w:r>
              <w:rPr>
                <w:rFonts w:eastAsia="Hiragino Sans" w:ascii="Hiragino Sans" w:hAnsi="Hiragino Sans"/>
                <w:b w:val="0"/>
                <w:sz w:val="18"/>
              </w:rPr>
              <w:t>一般社団法人日本内部監査協会「内部監査基準」／内部監査人協会（IIA）「グローバル内部監査基準」（2025年1月9日発効）</w:t>
            </w:r>
          </w:p>
        </w:tc>
      </w:tr>
      <w:tr>
        <w:tc>
          <w:tcPr>
            <w:tcW w:type="dxa" w:w="4986"/>
            <w:shd w:val="clear" w:fill="F7F8FA"/>
          </w:tcPr>
          <w:p>
            <w:r/>
            <w:r>
              <w:rPr>
                <w:rFonts w:eastAsia="Hiragino Sans" w:ascii="Hiragino Sans" w:hAnsi="Hiragino Sans"/>
                <w:b w:val="0"/>
                <w:sz w:val="18"/>
              </w:rPr>
              <w:t>位置づけ</w:t>
            </w:r>
          </w:p>
        </w:tc>
        <w:tc>
          <w:tcPr>
            <w:tcW w:type="dxa" w:w="4986"/>
            <w:shd w:val="clear" w:fill="F7F8FA"/>
          </w:tcPr>
          <w:p>
            <w:r/>
            <w:r>
              <w:rPr>
                <w:rFonts w:eastAsia="Hiragino Sans" w:ascii="Hiragino Sans" w:hAnsi="Hiragino Sans"/>
                <w:b w:val="0"/>
                <w:sz w:val="18"/>
              </w:rPr>
              <w:t>グローバル内部監査基準にいう「内部監査基本規程」（基準6.2）として、内部監査部門の負託事項・組織上の位置づけ・権限・責任を定める</w:t>
            </w:r>
          </w:p>
        </w:tc>
      </w:tr>
      <w:tr>
        <w:tc>
          <w:tcPr>
            <w:tcW w:type="dxa" w:w="4986"/>
          </w:tcPr>
          <w:p>
            <w:r/>
            <w:r>
              <w:rPr>
                <w:rFonts w:eastAsia="Hiragino Sans" w:ascii="Hiragino Sans" w:hAnsi="Hiragino Sans"/>
                <w:b w:val="0"/>
                <w:sz w:val="18"/>
              </w:rPr>
              <w:t>制定・改廃の決裁</w:t>
            </w:r>
          </w:p>
        </w:tc>
        <w:tc>
          <w:tcPr>
            <w:tcW w:type="dxa" w:w="4986"/>
          </w:tcPr>
          <w:p>
            <w:r/>
            <w:r>
              <w:rPr>
                <w:rFonts w:eastAsia="Hiragino Sans" w:ascii="Hiragino Sans" w:hAnsi="Hiragino Sans"/>
                <w:b w:val="0"/>
                <w:sz w:val="18"/>
              </w:rPr>
              <w:t>取締役会（監査役会の意見を聴取）</w:t>
            </w:r>
          </w:p>
        </w:tc>
      </w:tr>
      <w:tr>
        <w:tc>
          <w:tcPr>
            <w:tcW w:type="dxa" w:w="4986"/>
            <w:shd w:val="clear" w:fill="F7F8FA"/>
          </w:tcPr>
          <w:p>
            <w:r/>
            <w:r>
              <w:rPr>
                <w:rFonts w:eastAsia="Hiragino Sans" w:ascii="Hiragino Sans" w:hAnsi="Hiragino Sans"/>
                <w:b w:val="0"/>
                <w:sz w:val="18"/>
              </w:rPr>
              <w:t>版</w:t>
            </w:r>
          </w:p>
        </w:tc>
        <w:tc>
          <w:tcPr>
            <w:tcW w:type="dxa" w:w="4986"/>
            <w:shd w:val="clear" w:fill="F7F8FA"/>
          </w:tcPr>
          <w:p>
            <w:r/>
            <w:r>
              <w:rPr>
                <w:rFonts w:eastAsia="Hiragino Sans" w:ascii="Hiragino Sans" w:hAnsi="Hiragino Sans"/>
                <w:b w:val="0"/>
                <w:sz w:val="18"/>
              </w:rPr>
              <w:t>第4版</w:t>
            </w:r>
          </w:p>
        </w:tc>
      </w:tr>
      <w:tr>
        <w:tc>
          <w:tcPr>
            <w:tcW w:type="dxa" w:w="4986"/>
          </w:tcPr>
          <w:p>
            <w:r/>
            <w:r>
              <w:rPr>
                <w:rFonts w:eastAsia="Hiragino Sans" w:ascii="Hiragino Sans" w:hAnsi="Hiragino Sans"/>
                <w:b w:val="0"/>
                <w:sz w:val="18"/>
              </w:rPr>
              <w:t>施行日</w:t>
            </w:r>
          </w:p>
        </w:tc>
        <w:tc>
          <w:tcPr>
            <w:tcW w:type="dxa" w:w="4986"/>
          </w:tcPr>
          <w:p>
            <w:r/>
            <w:r>
              <w:rPr>
                <w:rFonts w:eastAsia="Hiragino Sans" w:ascii="Hiragino Sans" w:hAnsi="Hiragino Sans"/>
                <w:b w:val="0"/>
                <w:sz w:val="18"/>
              </w:rPr>
              <w:t>2025年4月1日</w:t>
            </w:r>
          </w:p>
        </w:tc>
      </w:tr>
    </w:tbl>
    <w:p>
      <w:pPr>
        <w:spacing w:after="40"/>
      </w:pPr>
    </w:p>
    <w:p>
      <w:pPr>
        <w:ind w:left="120"/>
        <w:shd w:val="clear" w:fill="F3F4F6"/>
        <w:pBdr>
          <w:left w:val="single" w:sz="18" w:space="6" w:color="24406B"/>
        </w:pBdr>
      </w:pPr>
      <w:r>
        <w:rPr>
          <w:rFonts w:eastAsia="Hiragino Sans" w:ascii="Hiragino Sans" w:hAnsi="Hiragino Sans"/>
          <w:b w:val="0"/>
          <w:i/>
          <w:color w:val="444444"/>
          <w:sz w:val="18"/>
        </w:rPr>
        <w:t>チェック観点: 本規程は、年度内部監査計画書（第11条）、内部監査実施通知書（第12条）、内部監査報告書（第17条）、フォローアップ（第19条）、内部通報との連携（第23条）、品質評価（第24条）を他の成果物から引用される。条番号を変えるときは、姉妹成果物（年度内部監査計画書・個別監査計画書・内部監査報告書）の引用も同時に改める。</w:t>
      </w:r>
    </w:p>
    <w:p>
      <w:pPr>
        <w:jc w:val="center"/>
      </w:pPr>
      <w:r>
        <w:t>────────────────────────────────────────</w:t>
      </w:r>
    </w:p>
    <w:p>
      <w:pPr>
        <w:pStyle w:val="Heading1"/>
      </w:pPr>
      <w:r>
        <w:t>第1章　総則</w:t>
      </w:r>
    </w:p>
    <w:p>
      <w:pPr>
        <w:pStyle w:val="Heading2"/>
      </w:pPr>
      <w:r>
        <w:t>第1条（目的）</w:t>
      </w:r>
    </w:p>
    <w:p>
      <w:pPr>
        <w:spacing w:after="80"/>
      </w:pPr>
      <w:r>
        <w:rPr>
          <w:rFonts w:eastAsia="Hiragino Sans" w:ascii="Hiragino Sans" w:hAnsi="Hiragino Sans"/>
          <w:b w:val="0"/>
          <w:i w:val="0"/>
        </w:rPr>
        <w:t>本規程は、サンプル製造株式会社（以下「当社」という。）における内部監査の目的、組織上の位置づけ、権限及び責任、並びに内部監査の計画、実施、報告及びフォローアップに関する基本事項を定め、内部監査が独立かつ客観的な立場から会社の業務の適正性と有効性を評価し、経営目標の達成と企業価値の向上に資することを目的とする。</w:t>
      </w:r>
    </w:p>
    <w:p>
      <w:pPr>
        <w:pStyle w:val="Heading2"/>
      </w:pPr>
      <w:r>
        <w:t>第2条（定義）</w:t>
      </w:r>
    </w:p>
    <w:p>
      <w:pPr>
        <w:spacing w:after="80"/>
      </w:pPr>
      <w:r>
        <w:rPr>
          <w:rFonts w:eastAsia="Hiragino Sans" w:ascii="Hiragino Sans" w:hAnsi="Hiragino Sans"/>
          <w:b w:val="0"/>
          <w:i w:val="0"/>
        </w:rPr>
        <w:t>本規程において、次の各号に掲げる用語の意義は、当該各号に定めるところによる。</w:t>
      </w:r>
    </w:p>
    <w:p>
      <w:pPr>
        <w:pStyle w:val="ListBullet"/>
        <w:ind w:left="240"/>
      </w:pPr>
      <w:r>
        <w:rPr>
          <w:rFonts w:eastAsia="Hiragino Sans" w:ascii="Hiragino Sans" w:hAnsi="Hiragino Sans"/>
          <w:b/>
          <w:sz w:val="20"/>
        </w:rPr>
        <w:t>① 内部監査</w:t>
      </w:r>
      <w:r>
        <w:rPr>
          <w:rFonts w:eastAsia="Hiragino Sans" w:ascii="Hiragino Sans" w:hAnsi="Hiragino Sans"/>
          <w:b w:val="0"/>
          <w:sz w:val="20"/>
        </w:rPr>
        <w:t>：内部監査室が、業務執行部門から独立した立場で、当社及び子会社の内部統制、リスク管理及びガバナンスの各プロセスの整備・運用状況を評価し、改善に向けた助言及び提言を行う一連の活動をいう。</w:t>
      </w:r>
    </w:p>
    <w:p>
      <w:pPr>
        <w:pStyle w:val="ListBullet"/>
        <w:ind w:left="240"/>
      </w:pPr>
      <w:r>
        <w:rPr>
          <w:rFonts w:eastAsia="Hiragino Sans" w:ascii="Hiragino Sans" w:hAnsi="Hiragino Sans"/>
          <w:b/>
          <w:sz w:val="20"/>
        </w:rPr>
        <w:t>② 内部監査室</w:t>
      </w:r>
      <w:r>
        <w:rPr>
          <w:rFonts w:eastAsia="Hiragino Sans" w:ascii="Hiragino Sans" w:hAnsi="Hiragino Sans"/>
          <w:b w:val="0"/>
          <w:sz w:val="20"/>
        </w:rPr>
        <w:t>：内部監査を担当する当社の組織単位をいい、内部監査室長及び室員で構成する。</w:t>
      </w:r>
    </w:p>
    <w:p>
      <w:pPr>
        <w:pStyle w:val="ListBullet"/>
        <w:ind w:left="240"/>
      </w:pPr>
      <w:r>
        <w:rPr>
          <w:rFonts w:eastAsia="Hiragino Sans" w:ascii="Hiragino Sans" w:hAnsi="Hiragino Sans"/>
          <w:b/>
          <w:sz w:val="20"/>
        </w:rPr>
        <w:t>③ 被監査部門</w:t>
      </w:r>
      <w:r>
        <w:rPr>
          <w:rFonts w:eastAsia="Hiragino Sans" w:ascii="Hiragino Sans" w:hAnsi="Hiragino Sans"/>
          <w:b w:val="0"/>
          <w:sz w:val="20"/>
        </w:rPr>
        <w:t>：内部監査の対象となる当社の部門、工場及び子会社をいう。</w:t>
      </w:r>
    </w:p>
    <w:p>
      <w:pPr>
        <w:pStyle w:val="ListBullet"/>
        <w:ind w:left="240"/>
      </w:pPr>
      <w:r>
        <w:rPr>
          <w:rFonts w:eastAsia="Hiragino Sans" w:ascii="Hiragino Sans" w:hAnsi="Hiragino Sans"/>
          <w:b/>
          <w:sz w:val="20"/>
        </w:rPr>
        <w:t>④ 発見事項</w:t>
      </w:r>
      <w:r>
        <w:rPr>
          <w:rFonts w:eastAsia="Hiragino Sans" w:ascii="Hiragino Sans" w:hAnsi="Hiragino Sans"/>
          <w:b w:val="0"/>
          <w:sz w:val="20"/>
        </w:rPr>
        <w:t>：内部監査の結果として識別した、規程・基準・法令からの逸脱、統制の不備又は改善を要する事項をいう。</w:t>
      </w:r>
    </w:p>
    <w:p>
      <w:pPr>
        <w:pStyle w:val="ListBullet"/>
        <w:ind w:left="240"/>
      </w:pPr>
      <w:r>
        <w:rPr>
          <w:rFonts w:eastAsia="Hiragino Sans" w:ascii="Hiragino Sans" w:hAnsi="Hiragino Sans"/>
          <w:b/>
          <w:sz w:val="20"/>
        </w:rPr>
        <w:t>⑤ 三様監査</w:t>
      </w:r>
      <w:r>
        <w:rPr>
          <w:rFonts w:eastAsia="Hiragino Sans" w:ascii="Hiragino Sans" w:hAnsi="Hiragino Sans"/>
          <w:b w:val="0"/>
          <w:sz w:val="20"/>
        </w:rPr>
        <w:t>：監査役監査、会計監査人監査及び内部監査をいう。</w:t>
      </w:r>
    </w:p>
    <w:p>
      <w:pPr>
        <w:pStyle w:val="Heading2"/>
      </w:pPr>
      <w:r>
        <w:t>第3条（適用範囲）</w:t>
      </w:r>
    </w:p>
    <w:p>
      <w:pPr>
        <w:pStyle w:val="ListBullet"/>
        <w:ind w:left="240"/>
      </w:pPr>
      <w:r>
        <w:rPr>
          <w:rFonts w:eastAsia="Hiragino Sans" w:ascii="Hiragino Sans" w:hAnsi="Hiragino Sans"/>
          <w:b w:val="0"/>
          <w:sz w:val="20"/>
        </w:rPr>
        <w:t>本規程は、当社の全ての部門及び工場並びに当社の子会社（会社法第2条第3号に定める子会社をいう。）に適用する。</w:t>
      </w:r>
    </w:p>
    <w:p>
      <w:pPr>
        <w:pStyle w:val="ListBullet"/>
        <w:ind w:left="240"/>
      </w:pPr>
      <w:r>
        <w:rPr>
          <w:rFonts w:eastAsia="Hiragino Sans" w:ascii="Hiragino Sans" w:hAnsi="Hiragino Sans"/>
          <w:b w:val="0"/>
          <w:sz w:val="20"/>
        </w:rPr>
        <w:t>関連会社については、当社の出資者としての権利の範囲で協力を求め、必要に応じて当該会社の同意を得て監査又は調査を行う。</w:t>
      </w:r>
    </w:p>
    <w:p>
      <w:pPr>
        <w:pStyle w:val="ListBullet"/>
        <w:ind w:left="240"/>
      </w:pPr>
      <w:r>
        <w:rPr>
          <w:rFonts w:eastAsia="Hiragino Sans" w:ascii="Hiragino Sans" w:hAnsi="Hiragino Sans"/>
          <w:b w:val="0"/>
          <w:sz w:val="20"/>
        </w:rPr>
        <w:t>子会社に対する内部監査は、当該子会社の監査役又は監査担当部門と連携して行い、重複する手続は協議のうえ省略することができる。</w:t>
      </w:r>
    </w:p>
    <w:p>
      <w:pPr>
        <w:pStyle w:val="Heading2"/>
      </w:pPr>
      <w:r>
        <w:t>第4条（内部監査の使命）</w:t>
      </w:r>
    </w:p>
    <w:p>
      <w:pPr>
        <w:spacing w:after="80"/>
      </w:pPr>
      <w:r>
        <w:rPr>
          <w:rFonts w:eastAsia="Hiragino Sans" w:ascii="Hiragino Sans" w:hAnsi="Hiragino Sans"/>
          <w:b w:val="0"/>
          <w:i w:val="0"/>
        </w:rPr>
        <w:t>内部監査は、リスクベースかつ客観的なアシュアランス、助言、洞察及び先見性を提供することにより、取締役会及び経営者による組織体の価値の維持・向上と、公共の利益への貢献を支援することを使命とする。</w:t>
      </w:r>
    </w:p>
    <w:p>
      <w:pPr>
        <w:pStyle w:val="Heading2"/>
      </w:pPr>
      <w:r>
        <w:t>第5条（準拠する基準）</w:t>
      </w:r>
    </w:p>
    <w:p>
      <w:pPr>
        <w:pStyle w:val="ListBullet"/>
        <w:ind w:left="240"/>
      </w:pPr>
      <w:r>
        <w:rPr>
          <w:rFonts w:eastAsia="Hiragino Sans" w:ascii="Hiragino Sans" w:hAnsi="Hiragino Sans"/>
          <w:b w:val="0"/>
          <w:sz w:val="20"/>
        </w:rPr>
        <w:t>内部監査は、本規程のほか、一般社団法人日本内部監査協会「内部監査基準」及び内部監査人協会（IIA）「グローバル内部監査基準」に準拠して実施する。</w:t>
      </w:r>
    </w:p>
    <w:p>
      <w:pPr>
        <w:pStyle w:val="ListBullet"/>
        <w:ind w:left="240"/>
      </w:pPr>
      <w:r>
        <w:rPr>
          <w:rFonts w:eastAsia="Hiragino Sans" w:ascii="Hiragino Sans" w:hAnsi="Hiragino Sans"/>
          <w:b w:val="0"/>
          <w:sz w:val="20"/>
        </w:rPr>
        <w:t>財務報告に係る内部統制の評価に関与する場合は、「財務報告に係る内部統制の評価及び監査の基準」及び「同実施基準」（2023年4月改訂）に従う。</w:t>
      </w:r>
    </w:p>
    <w:p>
      <w:pPr>
        <w:pStyle w:val="ListBullet"/>
        <w:ind w:left="240"/>
      </w:pPr>
      <w:r>
        <w:rPr>
          <w:rFonts w:eastAsia="Hiragino Sans" w:ascii="Hiragino Sans" w:hAnsi="Hiragino Sans"/>
          <w:b w:val="0"/>
          <w:sz w:val="20"/>
        </w:rPr>
        <w:t>内部監査室長は、基準の改訂があった場合、本規程及び内部監査マニュアル（第26条）への影響を検討し、必要な改正を取締役会に提案する。</w:t>
      </w:r>
    </w:p>
    <w:p>
      <w:pPr>
        <w:pStyle w:val="Heading1"/>
      </w:pPr>
      <w:r>
        <w:t>第2章　内部監査室の地位と独立性</w:t>
      </w:r>
    </w:p>
    <w:p>
      <w:pPr>
        <w:pStyle w:val="Heading2"/>
      </w:pPr>
      <w:r>
        <w:t>第6条（組織上の位置づけ）</w:t>
      </w:r>
    </w:p>
    <w:p>
      <w:pPr>
        <w:pStyle w:val="ListBullet"/>
        <w:ind w:left="240"/>
      </w:pPr>
      <w:r>
        <w:rPr>
          <w:rFonts w:eastAsia="Hiragino Sans" w:ascii="Hiragino Sans" w:hAnsi="Hiragino Sans"/>
          <w:b w:val="0"/>
          <w:sz w:val="20"/>
        </w:rPr>
        <w:t>内部監査室は代表取締役社長の直属とし、業務執行部門から独立した組織とする。</w:t>
      </w:r>
    </w:p>
    <w:p>
      <w:pPr>
        <w:pStyle w:val="ListBullet"/>
        <w:ind w:left="240"/>
      </w:pPr>
      <w:r>
        <w:rPr>
          <w:rFonts w:eastAsia="Hiragino Sans" w:ascii="Hiragino Sans" w:hAnsi="Hiragino Sans"/>
          <w:b w:val="0"/>
          <w:sz w:val="20"/>
        </w:rPr>
        <w:t>内部監査室は、その職務の遂行にあたり、いかなる業務執行部門の指揮命令も受けない。</w:t>
      </w:r>
    </w:p>
    <w:p>
      <w:pPr>
        <w:pStyle w:val="Heading2"/>
      </w:pPr>
      <w:r>
        <w:t>第7条（独立性及び客観性）</w:t>
      </w:r>
    </w:p>
    <w:p>
      <w:pPr>
        <w:pStyle w:val="ListBullet"/>
        <w:ind w:left="240"/>
      </w:pPr>
      <w:r>
        <w:rPr>
          <w:rFonts w:eastAsia="Hiragino Sans" w:ascii="Hiragino Sans" w:hAnsi="Hiragino Sans"/>
          <w:b w:val="0"/>
          <w:sz w:val="20"/>
        </w:rPr>
        <w:t>内部監査室の室員は、業務執行部門の職務を兼務してはならない。ただし、専門的能力を要する監査のため他部門の者を一時的に監査に従事させる場合は、当該者が所属する部門を対象とする監査に従事させてはならない。</w:t>
      </w:r>
    </w:p>
    <w:p>
      <w:pPr>
        <w:pStyle w:val="ListBullet"/>
        <w:ind w:left="240"/>
      </w:pPr>
      <w:r>
        <w:rPr>
          <w:rFonts w:eastAsia="Hiragino Sans" w:ascii="Hiragino Sans" w:hAnsi="Hiragino Sans"/>
          <w:b w:val="0"/>
          <w:sz w:val="20"/>
        </w:rPr>
        <w:t>室員は、自らが過去1年以内に在籍した部門、又は自らの親族が責任者を務める部門を対象とする監査に従事してはならない。</w:t>
      </w:r>
    </w:p>
    <w:p>
      <w:pPr>
        <w:pStyle w:val="ListBullet"/>
        <w:ind w:left="240"/>
      </w:pPr>
      <w:r>
        <w:rPr>
          <w:rFonts w:eastAsia="Hiragino Sans" w:ascii="Hiragino Sans" w:hAnsi="Hiragino Sans"/>
          <w:b w:val="0"/>
          <w:sz w:val="20"/>
        </w:rPr>
        <w:t>室員は、毎年1回及び利益相反のおそれが生じた都度、その事実を内部監査室長に申告しなければならない。内部監査室長は、必要に応じて担当を変更する。</w:t>
      </w:r>
    </w:p>
    <w:p>
      <w:pPr>
        <w:pStyle w:val="ListBullet"/>
        <w:ind w:left="240"/>
      </w:pPr>
      <w:r>
        <w:rPr>
          <w:rFonts w:eastAsia="Hiragino Sans" w:ascii="Hiragino Sans" w:hAnsi="Hiragino Sans"/>
          <w:b w:val="0"/>
          <w:sz w:val="20"/>
        </w:rPr>
        <w:t>内部監査室は、監査対象となる業務の設計、運用又は意思決定を行ってはならない。助言業務を行う場合であっても、その後の当該業務に対するアシュアランスの客観性を損なわないよう配慮する。</w:t>
      </w:r>
    </w:p>
    <w:p>
      <w:pPr>
        <w:pStyle w:val="Heading2"/>
      </w:pPr>
      <w:r>
        <w:t>第8条（報告経路）</w:t>
      </w:r>
    </w:p>
    <w:p>
      <w:pPr>
        <w:pStyle w:val="ListBullet"/>
        <w:ind w:left="240"/>
      </w:pPr>
      <w:r>
        <w:rPr>
          <w:rFonts w:eastAsia="Hiragino Sans" w:ascii="Hiragino Sans" w:hAnsi="Hiragino Sans"/>
          <w:b w:val="0"/>
          <w:sz w:val="20"/>
        </w:rPr>
        <w:t>内部監査室長は、内部監査の結果を代表取締役社長に報告するとともに、監査役会に対しても直接報告する（デュアルレポーティング）。</w:t>
      </w:r>
    </w:p>
    <w:p>
      <w:pPr>
        <w:pStyle w:val="ListBullet"/>
        <w:ind w:left="240"/>
      </w:pPr>
      <w:r>
        <w:rPr>
          <w:rFonts w:eastAsia="Hiragino Sans" w:ascii="Hiragino Sans" w:hAnsi="Hiragino Sans"/>
          <w:b w:val="0"/>
          <w:sz w:val="20"/>
        </w:rPr>
        <w:t>内部監査室長は、取締役会に対し、年度内部監査計画及び年次の活動報告を行い、重要度の高い発見事項とその是正状況を報告する。</w:t>
      </w:r>
    </w:p>
    <w:p>
      <w:pPr>
        <w:pStyle w:val="ListBullet"/>
        <w:ind w:left="240"/>
      </w:pPr>
      <w:r>
        <w:rPr>
          <w:rFonts w:eastAsia="Hiragino Sans" w:ascii="Hiragino Sans" w:hAnsi="Hiragino Sans"/>
          <w:b w:val="0"/>
          <w:sz w:val="20"/>
        </w:rPr>
        <w:t>前二項の報告は、代表取締役社長又は業務執行取締役による事前の修正を受けない。</w:t>
      </w:r>
    </w:p>
    <w:p>
      <w:pPr>
        <w:pStyle w:val="Heading2"/>
      </w:pPr>
      <w:r>
        <w:t>第9条（内部監査室長の任免及び評価）</w:t>
      </w:r>
    </w:p>
    <w:p>
      <w:pPr>
        <w:pStyle w:val="ListBullet"/>
        <w:ind w:left="240"/>
      </w:pPr>
      <w:r>
        <w:rPr>
          <w:rFonts w:eastAsia="Hiragino Sans" w:ascii="Hiragino Sans" w:hAnsi="Hiragino Sans"/>
          <w:b w:val="0"/>
          <w:sz w:val="20"/>
        </w:rPr>
        <w:t>内部監査室長の選任及び解任は、代表取締役社長が監査役会の同意を得て行う。</w:t>
      </w:r>
    </w:p>
    <w:p>
      <w:pPr>
        <w:pStyle w:val="ListBullet"/>
        <w:ind w:left="240"/>
      </w:pPr>
      <w:r>
        <w:rPr>
          <w:rFonts w:eastAsia="Hiragino Sans" w:ascii="Hiragino Sans" w:hAnsi="Hiragino Sans"/>
          <w:b w:val="0"/>
          <w:sz w:val="20"/>
        </w:rPr>
        <w:t>内部監査室長の業績評価及び処遇は、代表取締役社長が監査役会の意見を聴いて決定する。</w:t>
      </w:r>
    </w:p>
    <w:p>
      <w:pPr>
        <w:pStyle w:val="ListBullet"/>
        <w:ind w:left="240"/>
      </w:pPr>
      <w:r>
        <w:rPr>
          <w:rFonts w:eastAsia="Hiragino Sans" w:ascii="Hiragino Sans" w:hAnsi="Hiragino Sans"/>
          <w:b w:val="0"/>
          <w:sz w:val="20"/>
        </w:rPr>
        <w:t>内部監査室長は、内部監査の職務に必要な専門的能力と経験を有する者でなければならない。</w:t>
      </w:r>
    </w:p>
    <w:p>
      <w:pPr>
        <w:pStyle w:val="Heading2"/>
      </w:pPr>
      <w:r>
        <w:t>第10条（権限及び守秘義務）</w:t>
      </w:r>
    </w:p>
    <w:p>
      <w:pPr>
        <w:pStyle w:val="ListBullet"/>
        <w:ind w:left="240"/>
      </w:pPr>
      <w:r>
        <w:rPr>
          <w:rFonts w:eastAsia="Hiragino Sans" w:ascii="Hiragino Sans" w:hAnsi="Hiragino Sans"/>
          <w:b w:val="0"/>
          <w:sz w:val="20"/>
        </w:rPr>
        <w:t>内部監査室は、監査の実施に必要な限度において、当社及び子会社のすべての帳簿、記録、資産、施設及び情報システムを閲覧し、又は立ち入ることができ、役職員に対して説明及び資料の提出を求めることができる。</w:t>
      </w:r>
    </w:p>
    <w:p>
      <w:pPr>
        <w:pStyle w:val="ListBullet"/>
        <w:ind w:left="240"/>
      </w:pPr>
      <w:r>
        <w:rPr>
          <w:rFonts w:eastAsia="Hiragino Sans" w:ascii="Hiragino Sans" w:hAnsi="Hiragino Sans"/>
          <w:b w:val="0"/>
          <w:sz w:val="20"/>
        </w:rPr>
        <w:t>被監査部門及び役職員は、正当な理由なく前項の求めを拒んではならない。</w:t>
      </w:r>
    </w:p>
    <w:p>
      <w:pPr>
        <w:pStyle w:val="ListBullet"/>
        <w:ind w:left="240"/>
      </w:pPr>
      <w:r>
        <w:rPr>
          <w:rFonts w:eastAsia="Hiragino Sans" w:ascii="Hiragino Sans" w:hAnsi="Hiragino Sans"/>
          <w:b w:val="0"/>
          <w:sz w:val="20"/>
        </w:rPr>
        <w:t>内部監査室は、監査に必要なデータの抽出（コンピュータ利用監査技法（CAAT）を含む。）について情報システム部門の協力を求めることができる。</w:t>
      </w:r>
    </w:p>
    <w:p>
      <w:pPr>
        <w:pStyle w:val="ListBullet"/>
        <w:ind w:left="240"/>
      </w:pPr>
      <w:r>
        <w:rPr>
          <w:rFonts w:eastAsia="Hiragino Sans" w:ascii="Hiragino Sans" w:hAnsi="Hiragino Sans"/>
          <w:b w:val="0"/>
          <w:sz w:val="20"/>
        </w:rPr>
        <w:t>室員は、監査の過程で知り得た情報を、監査の目的以外に使用し、又は正当な理由なく第三者に開示してはならない。この義務は、内部監査室から異動又は退職した後も継続する。</w:t>
      </w:r>
    </w:p>
    <w:p>
      <w:pPr>
        <w:pStyle w:val="Heading1"/>
      </w:pPr>
      <w:r>
        <w:t>第3章　監査の計画</w:t>
      </w:r>
    </w:p>
    <w:p>
      <w:pPr>
        <w:pStyle w:val="Heading2"/>
      </w:pPr>
      <w:r>
        <w:t>第11条（監査計画）</w:t>
      </w:r>
    </w:p>
    <w:p>
      <w:pPr>
        <w:pStyle w:val="ListBullet"/>
        <w:ind w:left="240"/>
      </w:pPr>
      <w:r>
        <w:rPr>
          <w:rFonts w:eastAsia="Hiragino Sans" w:ascii="Hiragino Sans" w:hAnsi="Hiragino Sans"/>
          <w:b w:val="0"/>
          <w:sz w:val="20"/>
        </w:rPr>
        <w:t>内部監査室長は、監査対象となる業務・拠点・テーマの全体（監査ユニバース）についてリスク評価を行い、これに基づき中期監査計画及び年度内部監査計画を策定する。</w:t>
      </w:r>
    </w:p>
    <w:p>
      <w:pPr>
        <w:pStyle w:val="ListBullet"/>
        <w:ind w:left="240"/>
      </w:pPr>
      <w:r>
        <w:rPr>
          <w:rFonts w:eastAsia="Hiragino Sans" w:ascii="Hiragino Sans" w:hAnsi="Hiragino Sans"/>
          <w:b w:val="0"/>
          <w:sz w:val="20"/>
        </w:rPr>
        <w:t>リスク評価は、金額的影響、取引の複雑性・変化、不正リスク、前回監査の結果及び不備の是正状況、並びに経営者・監査役の関心及び外部環境を考慮して行い、その根拠を文書化する。</w:t>
      </w:r>
    </w:p>
    <w:p>
      <w:pPr>
        <w:pStyle w:val="ListBullet"/>
        <w:ind w:left="240"/>
      </w:pPr>
      <w:r>
        <w:rPr>
          <w:rFonts w:eastAsia="Hiragino Sans" w:ascii="Hiragino Sans" w:hAnsi="Hiragino Sans"/>
          <w:b w:val="0"/>
          <w:sz w:val="20"/>
        </w:rPr>
        <w:t>年度内部監査計画には、基本方針、監査対象及び選定理由、実施時期、監査担当者、監査資源の配分、報告体制及び品質管理に関する事項を記載する。</w:t>
      </w:r>
    </w:p>
    <w:p>
      <w:pPr>
        <w:pStyle w:val="ListBullet"/>
        <w:ind w:left="240"/>
      </w:pPr>
      <w:r>
        <w:rPr>
          <w:rFonts w:eastAsia="Hiragino Sans" w:ascii="Hiragino Sans" w:hAnsi="Hiragino Sans"/>
          <w:b w:val="0"/>
          <w:sz w:val="20"/>
        </w:rPr>
        <w:t>年度内部監査計画は、監査役会と事前に協議したうえで代表取締役社長の承認を受け、取締役会に報告する。</w:t>
      </w:r>
    </w:p>
    <w:p>
      <w:pPr>
        <w:pStyle w:val="ListBullet"/>
        <w:ind w:left="240"/>
      </w:pPr>
      <w:r>
        <w:rPr>
          <w:rFonts w:eastAsia="Hiragino Sans" w:ascii="Hiragino Sans" w:hAnsi="Hiragino Sans"/>
          <w:b w:val="0"/>
          <w:sz w:val="20"/>
        </w:rPr>
        <w:t>内部監査室長は、年度中に重大な不正・事故・組織変更等が生じた場合又は監査役会若しくは取締役会の要請があった場合には、リスク評価を更新して年度内部監査計画を改訂し、前項に準じて承認及び報告を行う。</w:t>
      </w:r>
    </w:p>
    <w:p>
      <w:pPr>
        <w:pStyle w:val="Heading1"/>
      </w:pPr>
      <w:r>
        <w:t>第4章　監査の実施</w:t>
      </w:r>
    </w:p>
    <w:p>
      <w:pPr>
        <w:pStyle w:val="Heading2"/>
      </w:pPr>
      <w:r>
        <w:t>第12条（監査の実施通知）</w:t>
      </w:r>
    </w:p>
    <w:p>
      <w:pPr>
        <w:pStyle w:val="ListBullet"/>
        <w:ind w:left="240"/>
      </w:pPr>
      <w:r>
        <w:rPr>
          <w:rFonts w:eastAsia="Hiragino Sans" w:ascii="Hiragino Sans" w:hAnsi="Hiragino Sans"/>
          <w:b w:val="0"/>
          <w:sz w:val="20"/>
        </w:rPr>
        <w:t>内部監査室長は、監査の実施に先立ち、原則として往査開始日の2週間前までに、被監査部門の責任者に対し、監査の対象、実施期間、監査担当者、監査目的、監査項目及び依頼事項を記載した内部監査実施通知書により通知する。</w:t>
      </w:r>
    </w:p>
    <w:p>
      <w:pPr>
        <w:pStyle w:val="ListBullet"/>
        <w:ind w:left="240"/>
      </w:pPr>
      <w:r>
        <w:rPr>
          <w:rFonts w:eastAsia="Hiragino Sans" w:ascii="Hiragino Sans" w:hAnsi="Hiragino Sans"/>
          <w:b w:val="0"/>
          <w:sz w:val="20"/>
        </w:rPr>
        <w:t>前項の規定にかかわらず、不正の疑いがある場合その他事前の通知が監査の目的を妨げるおそれがある場合には、代表取締役社長の承認を得て、通知を行わずに監査を実施することができる。この場合、内部監査室長は監査役会に事後速やかに報告する。</w:t>
      </w:r>
    </w:p>
    <w:p>
      <w:pPr>
        <w:pStyle w:val="ListBullet"/>
        <w:ind w:left="240"/>
      </w:pPr>
      <w:r>
        <w:rPr>
          <w:rFonts w:eastAsia="Hiragino Sans" w:ascii="Hiragino Sans" w:hAnsi="Hiragino Sans"/>
          <w:b w:val="0"/>
          <w:sz w:val="20"/>
        </w:rPr>
        <w:t>実施通知書には、被監査部門に提出を求める資料の一覧（依頼資料リスト）及び提出期限を添付する。</w:t>
      </w:r>
    </w:p>
    <w:p>
      <w:pPr>
        <w:pStyle w:val="Heading2"/>
      </w:pPr>
      <w:r>
        <w:t>第13条（個別監査計画）</w:t>
      </w:r>
    </w:p>
    <w:p>
      <w:pPr>
        <w:pStyle w:val="ListBullet"/>
        <w:ind w:left="240"/>
      </w:pPr>
      <w:r>
        <w:rPr>
          <w:rFonts w:eastAsia="Hiragino Sans" w:ascii="Hiragino Sans" w:hAnsi="Hiragino Sans"/>
          <w:b w:val="0"/>
          <w:sz w:val="20"/>
        </w:rPr>
        <w:t>監査担当者は、個々の監査について、監査目的、監査範囲、監査基準、リスク評価、監査項目及び監査手続、監査体制並びに日程を記載した個別監査計画書を作成し、内部監査室長の承認を受ける。</w:t>
      </w:r>
    </w:p>
    <w:p>
      <w:pPr>
        <w:pStyle w:val="ListBullet"/>
        <w:ind w:left="240"/>
      </w:pPr>
      <w:r>
        <w:rPr>
          <w:rFonts w:eastAsia="Hiragino Sans" w:ascii="Hiragino Sans" w:hAnsi="Hiragino Sans"/>
          <w:b w:val="0"/>
          <w:sz w:val="20"/>
        </w:rPr>
        <w:t>個別監査計画は、財務報告に係る内部統制の評価（第22条）と連携し、対象業務プロセスのキーコントロールを監査基準に取り込む。</w:t>
      </w:r>
    </w:p>
    <w:p>
      <w:pPr>
        <w:pStyle w:val="Heading2"/>
      </w:pPr>
      <w:r>
        <w:t>第14条（監査手続及び監査証拠）</w:t>
      </w:r>
    </w:p>
    <w:p>
      <w:pPr>
        <w:pStyle w:val="ListBullet"/>
        <w:ind w:left="240"/>
      </w:pPr>
      <w:r>
        <w:rPr>
          <w:rFonts w:eastAsia="Hiragino Sans" w:ascii="Hiragino Sans" w:hAnsi="Hiragino Sans"/>
          <w:b w:val="0"/>
          <w:sz w:val="20"/>
        </w:rPr>
        <w:t>監査担当者は、質問、閲覧、観察、突合、再実施及び分析的手続その他の適切な監査技法を組み合わせ、監査意見の基礎となる十分かつ適切な監査証拠を入手する。</w:t>
      </w:r>
    </w:p>
    <w:p>
      <w:pPr>
        <w:pStyle w:val="ListBullet"/>
        <w:ind w:left="240"/>
      </w:pPr>
      <w:r>
        <w:rPr>
          <w:rFonts w:eastAsia="Hiragino Sans" w:ascii="Hiragino Sans" w:hAnsi="Hiragino Sans"/>
          <w:b w:val="0"/>
          <w:sz w:val="20"/>
        </w:rPr>
        <w:t>サンプルテストを行う場合は、母集団の完全性を確かめたうえで、抽出方法、サンプル数及びその根拠を調書に記載する。</w:t>
      </w:r>
    </w:p>
    <w:p>
      <w:pPr>
        <w:pStyle w:val="ListBullet"/>
        <w:ind w:left="240"/>
      </w:pPr>
      <w:r>
        <w:rPr>
          <w:rFonts w:eastAsia="Hiragino Sans" w:ascii="Hiragino Sans" w:hAnsi="Hiragino Sans"/>
          <w:b w:val="0"/>
          <w:sz w:val="20"/>
        </w:rPr>
        <w:t>全件データの分析が可能な場合は、CAATにより例外・異常の抽出を行い、その抽出条件及び結果を調書に記載する。</w:t>
      </w:r>
    </w:p>
    <w:p>
      <w:pPr>
        <w:pStyle w:val="Heading2"/>
      </w:pPr>
      <w:r>
        <w:t>第15条（監査調書）</w:t>
      </w:r>
    </w:p>
    <w:p>
      <w:pPr>
        <w:pStyle w:val="ListBullet"/>
        <w:ind w:left="240"/>
      </w:pPr>
      <w:r>
        <w:rPr>
          <w:rFonts w:eastAsia="Hiragino Sans" w:ascii="Hiragino Sans" w:hAnsi="Hiragino Sans"/>
          <w:b w:val="0"/>
          <w:sz w:val="20"/>
        </w:rPr>
        <w:t>監査担当者は、実施した監査手続、入手した証拠、判断の過程及び結論を監査調書として記録し、内部監査室長又は主査の査閲を受ける。</w:t>
      </w:r>
    </w:p>
    <w:p>
      <w:pPr>
        <w:pStyle w:val="ListBullet"/>
        <w:ind w:left="240"/>
      </w:pPr>
      <w:r>
        <w:rPr>
          <w:rFonts w:eastAsia="Hiragino Sans" w:ascii="Hiragino Sans" w:hAnsi="Hiragino Sans"/>
          <w:b w:val="0"/>
          <w:sz w:val="20"/>
        </w:rPr>
        <w:t>監査調書には作成者、作成日、査閲者及び査閲日を記載し、監査報告書の記載事項との相互参照を可能にする。</w:t>
      </w:r>
    </w:p>
    <w:p>
      <w:pPr>
        <w:pStyle w:val="ListBullet"/>
        <w:ind w:left="240"/>
      </w:pPr>
      <w:r>
        <w:rPr>
          <w:rFonts w:eastAsia="Hiragino Sans" w:ascii="Hiragino Sans" w:hAnsi="Hiragino Sans"/>
          <w:b w:val="0"/>
          <w:sz w:val="20"/>
        </w:rPr>
        <w:t>監査調書及び関連資料は、監査終了後7年間保存する。</w:t>
      </w:r>
    </w:p>
    <w:p>
      <w:pPr>
        <w:pStyle w:val="Heading2"/>
      </w:pPr>
      <w:r>
        <w:t>第16条（講評及び事実確認）</w:t>
      </w:r>
    </w:p>
    <w:p>
      <w:pPr>
        <w:pStyle w:val="ListBullet"/>
        <w:ind w:left="240"/>
      </w:pPr>
      <w:r>
        <w:rPr>
          <w:rFonts w:eastAsia="Hiragino Sans" w:ascii="Hiragino Sans" w:hAnsi="Hiragino Sans"/>
          <w:b w:val="0"/>
          <w:sz w:val="20"/>
        </w:rPr>
        <w:t>監査担当者は、往査の終了時に被監査部門の責任者と講評会（エグジットミーティング）を開催し、発見事項の事実関係を確認する。</w:t>
      </w:r>
    </w:p>
    <w:p>
      <w:pPr>
        <w:pStyle w:val="ListBullet"/>
        <w:ind w:left="240"/>
      </w:pPr>
      <w:r>
        <w:rPr>
          <w:rFonts w:eastAsia="Hiragino Sans" w:ascii="Hiragino Sans" w:hAnsi="Hiragino Sans"/>
          <w:b w:val="0"/>
          <w:sz w:val="20"/>
        </w:rPr>
        <w:t>被監査部門は、事実関係に異議がある場合、講評会後5営業日以内に内部監査室長に申し出ることができる。内部監査室長は、必要に応じて追加の手続を行い、発見事項を確定する。</w:t>
      </w:r>
    </w:p>
    <w:p>
      <w:pPr>
        <w:pStyle w:val="Heading1"/>
      </w:pPr>
      <w:r>
        <w:t>第5章　報告及びフォローアップ</w:t>
      </w:r>
    </w:p>
    <w:p>
      <w:pPr>
        <w:pStyle w:val="Heading2"/>
      </w:pPr>
      <w:r>
        <w:t>第17条（内部監査報告書）</w:t>
      </w:r>
    </w:p>
    <w:p>
      <w:pPr>
        <w:pStyle w:val="ListBullet"/>
        <w:ind w:left="240"/>
      </w:pPr>
      <w:r>
        <w:rPr>
          <w:rFonts w:eastAsia="Hiragino Sans" w:ascii="Hiragino Sans" w:hAnsi="Hiragino Sans"/>
          <w:b w:val="0"/>
          <w:sz w:val="20"/>
        </w:rPr>
        <w:t>内部監査室長は、監査の終了後速やかに、内部監査報告書を作成し、代表取締役社長及び監査役会に提出する。</w:t>
      </w:r>
    </w:p>
    <w:p>
      <w:pPr>
        <w:pStyle w:val="ListBullet"/>
        <w:ind w:left="240"/>
      </w:pPr>
      <w:r>
        <w:rPr>
          <w:rFonts w:eastAsia="Hiragino Sans" w:ascii="Hiragino Sans" w:hAnsi="Hiragino Sans"/>
          <w:b w:val="0"/>
          <w:sz w:val="20"/>
        </w:rPr>
        <w:t>内部監査報告書には、次の事項を記載する。</w:t>
      </w:r>
    </w:p>
    <w:p>
      <w:pPr>
        <w:pStyle w:val="ListBullet"/>
        <w:ind w:left="480"/>
      </w:pPr>
      <w:r>
        <w:rPr>
          <w:rFonts w:eastAsia="Hiragino Sans" w:ascii="Hiragino Sans" w:hAnsi="Hiragino Sans"/>
          <w:b w:val="0"/>
          <w:sz w:val="20"/>
        </w:rPr>
        <w:t>監査対象、対象期間、監査担当者及び往査の場所・日程</w:t>
      </w:r>
    </w:p>
    <w:p>
      <w:pPr>
        <w:pStyle w:val="ListBullet"/>
        <w:ind w:left="480"/>
      </w:pPr>
      <w:r>
        <w:rPr>
          <w:rFonts w:eastAsia="Hiragino Sans" w:ascii="Hiragino Sans" w:hAnsi="Hiragino Sans"/>
          <w:b w:val="0"/>
          <w:sz w:val="20"/>
        </w:rPr>
        <w:t>総合意見及びその結論区分（有効／一部要改善／不十分）</w:t>
      </w:r>
    </w:p>
    <w:p>
      <w:pPr>
        <w:pStyle w:val="ListBullet"/>
        <w:ind w:left="480"/>
      </w:pPr>
      <w:r>
        <w:rPr>
          <w:rFonts w:eastAsia="Hiragino Sans" w:ascii="Hiragino Sans" w:hAnsi="Hiragino Sans"/>
          <w:b w:val="0"/>
          <w:sz w:val="20"/>
        </w:rPr>
        <w:t>発見事項（事実、基準、原因、影響、改善提案、被監査部門の回答、改善責任者及び期限）</w:t>
      </w:r>
    </w:p>
    <w:p>
      <w:pPr>
        <w:pStyle w:val="ListBullet"/>
        <w:ind w:left="480"/>
      </w:pPr>
      <w:r>
        <w:rPr>
          <w:rFonts w:eastAsia="Hiragino Sans" w:ascii="Hiragino Sans" w:hAnsi="Hiragino Sans"/>
          <w:b w:val="0"/>
          <w:sz w:val="20"/>
        </w:rPr>
        <w:t>改善計画及びフォローアップの方針</w:t>
      </w:r>
    </w:p>
    <w:p>
      <w:pPr>
        <w:pStyle w:val="ListBullet"/>
        <w:ind w:left="480"/>
      </w:pPr>
      <w:r>
        <w:rPr>
          <w:rFonts w:eastAsia="Hiragino Sans" w:ascii="Hiragino Sans" w:hAnsi="Hiragino Sans"/>
          <w:b w:val="0"/>
          <w:sz w:val="20"/>
        </w:rPr>
        <w:t>監査役会及び取締役会への付議事項</w:t>
      </w:r>
    </w:p>
    <w:p>
      <w:pPr>
        <w:pStyle w:val="ListBullet"/>
        <w:ind w:left="240"/>
      </w:pPr>
      <w:r>
        <w:rPr>
          <w:rFonts w:eastAsia="Hiragino Sans" w:ascii="Hiragino Sans" w:hAnsi="Hiragino Sans"/>
          <w:b w:val="0"/>
          <w:sz w:val="20"/>
        </w:rPr>
        <w:t>内部監査室長は、内部監査報告書の写しを被監査部門の責任者及び関連する部門の責任者に配布する。会計監査人への提供は、監査役会と協議のうえ行う。</w:t>
      </w:r>
    </w:p>
    <w:p>
      <w:pPr>
        <w:pStyle w:val="ListBullet"/>
        <w:ind w:left="240"/>
      </w:pPr>
      <w:r>
        <w:rPr>
          <w:rFonts w:eastAsia="Hiragino Sans" w:ascii="Hiragino Sans" w:hAnsi="Hiragino Sans"/>
          <w:b w:val="0"/>
          <w:sz w:val="20"/>
        </w:rPr>
        <w:t>不正又は重大な統制不備を発見した場合、内部監査室長は報告書の作成を待たず、直ちに代表取締役社長及び監査役会に報告する。</w:t>
      </w:r>
    </w:p>
    <w:p>
      <w:pPr>
        <w:pStyle w:val="Heading2"/>
      </w:pPr>
      <w:r>
        <w:t>第18条（発見事項への対応）</w:t>
      </w:r>
    </w:p>
    <w:p>
      <w:pPr>
        <w:pStyle w:val="ListBullet"/>
        <w:ind w:left="240"/>
      </w:pPr>
      <w:r>
        <w:rPr>
          <w:rFonts w:eastAsia="Hiragino Sans" w:ascii="Hiragino Sans" w:hAnsi="Hiragino Sans"/>
          <w:b w:val="0"/>
          <w:sz w:val="20"/>
        </w:rPr>
        <w:t>被監査部門の責任者は、内部監査報告書の受領後2週間以内に、報告書に記載された改善提案・改善責任者・期限を踏まえて、発見事項ごとの改善計画（改善責任者、具体的な措置及び完了予定日）を改善計画書として確定し、内部監査室長に提出する。報告書の記載と異なる措置・期限とする場合は、その理由を付す。</w:t>
      </w:r>
    </w:p>
    <w:p>
      <w:pPr>
        <w:pStyle w:val="ListBullet"/>
        <w:ind w:left="240"/>
      </w:pPr>
      <w:r>
        <w:rPr>
          <w:rFonts w:eastAsia="Hiragino Sans" w:ascii="Hiragino Sans" w:hAnsi="Hiragino Sans"/>
          <w:b w:val="0"/>
          <w:sz w:val="20"/>
        </w:rPr>
        <w:t>改善計画は、直ちに実施できる暫定的な措置と、システム改修等を伴う恒久的な措置を区分して記載する。</w:t>
      </w:r>
    </w:p>
    <w:p>
      <w:pPr>
        <w:pStyle w:val="ListBullet"/>
        <w:ind w:left="240"/>
      </w:pPr>
      <w:r>
        <w:rPr>
          <w:rFonts w:eastAsia="Hiragino Sans" w:ascii="Hiragino Sans" w:hAnsi="Hiragino Sans"/>
          <w:b w:val="0"/>
          <w:sz w:val="20"/>
        </w:rPr>
        <w:t>改善責任者は、完了予定日までに措置を完了し、その証跡を内部監査室に提出する。期限の延長を要する場合は、理由と新たな完了予定日を内部監査室長に書面で申請する。</w:t>
      </w:r>
    </w:p>
    <w:p>
      <w:pPr>
        <w:pStyle w:val="Heading2"/>
      </w:pPr>
      <w:r>
        <w:t>第19条（フォローアップ）</w:t>
      </w:r>
    </w:p>
    <w:p>
      <w:pPr>
        <w:pStyle w:val="ListBullet"/>
        <w:ind w:left="240"/>
      </w:pPr>
      <w:r>
        <w:rPr>
          <w:rFonts w:eastAsia="Hiragino Sans" w:ascii="Hiragino Sans" w:hAnsi="Hiragino Sans"/>
          <w:b w:val="0"/>
          <w:sz w:val="20"/>
        </w:rPr>
        <w:t>内部監査室は、発見事項の是正状況を、原則として内部監査報告書の提出後3か月及び6か月の時点でフォローアップし、是正の完了を証跡により確認する。</w:t>
      </w:r>
    </w:p>
    <w:p>
      <w:pPr>
        <w:pStyle w:val="ListBullet"/>
        <w:ind w:left="240"/>
      </w:pPr>
      <w:r>
        <w:rPr>
          <w:rFonts w:eastAsia="Hiragino Sans" w:ascii="Hiragino Sans" w:hAnsi="Hiragino Sans"/>
          <w:b w:val="0"/>
          <w:sz w:val="20"/>
        </w:rPr>
        <w:t>内部監査室長は、フォローアップの結果を四半期ごとに監査役会に報告し、完了予定日を超過した発見事項については、その理由及び見通しをあわせて報告する。</w:t>
      </w:r>
    </w:p>
    <w:p>
      <w:pPr>
        <w:pStyle w:val="ListBullet"/>
        <w:ind w:left="240"/>
      </w:pPr>
      <w:r>
        <w:rPr>
          <w:rFonts w:eastAsia="Hiragino Sans" w:ascii="Hiragino Sans" w:hAnsi="Hiragino Sans"/>
          <w:b w:val="0"/>
          <w:sz w:val="20"/>
        </w:rPr>
        <w:t>重要度の高い発見事項について是正が著しく遅延している場合、内部監査室長は取締役会に報告し、必要な措置を求める。</w:t>
      </w:r>
    </w:p>
    <w:p>
      <w:pPr>
        <w:pStyle w:val="Heading2"/>
      </w:pPr>
      <w:r>
        <w:t>第20条（年次報告）</w:t>
      </w:r>
    </w:p>
    <w:p>
      <w:pPr>
        <w:spacing w:after="80"/>
      </w:pPr>
      <w:r>
        <w:rPr>
          <w:rFonts w:eastAsia="Hiragino Sans" w:ascii="Hiragino Sans" w:hAnsi="Hiragino Sans"/>
          <w:b w:val="0"/>
          <w:i w:val="0"/>
        </w:rPr>
        <w:t>内部監査室長は、事業年度の終了後3か月以内に、当該年度の内部監査の実施状況、発見事項の傾向、是正状況、内部監査室の体制及び品質評価の結果を取りまとめた年次報告書を作成し、取締役会及び監査役会に報告する。</w:t>
      </w:r>
    </w:p>
    <w:p>
      <w:pPr>
        <w:pStyle w:val="Heading1"/>
      </w:pPr>
      <w:r>
        <w:t>第6章　他の監査等との連携</w:t>
      </w:r>
    </w:p>
    <w:p>
      <w:pPr>
        <w:pStyle w:val="Heading2"/>
      </w:pPr>
      <w:r>
        <w:t>第21条（監査役会及び会計監査人との連携）</w:t>
      </w:r>
    </w:p>
    <w:p>
      <w:pPr>
        <w:pStyle w:val="ListBullet"/>
        <w:ind w:left="240"/>
      </w:pPr>
      <w:r>
        <w:rPr>
          <w:rFonts w:eastAsia="Hiragino Sans" w:ascii="Hiragino Sans" w:hAnsi="Hiragino Sans"/>
          <w:b w:val="0"/>
          <w:sz w:val="20"/>
        </w:rPr>
        <w:t>内部監査室は、監査役会及び会計監査人と定期的に会合（三様監査連絡会）を開催し、監査計画、重点リスク及び発見事項について情報を共有する。</w:t>
      </w:r>
    </w:p>
    <w:p>
      <w:pPr>
        <w:pStyle w:val="ListBullet"/>
        <w:ind w:left="240"/>
      </w:pPr>
      <w:r>
        <w:rPr>
          <w:rFonts w:eastAsia="Hiragino Sans" w:ascii="Hiragino Sans" w:hAnsi="Hiragino Sans"/>
          <w:b w:val="0"/>
          <w:sz w:val="20"/>
        </w:rPr>
        <w:t>内部監査室は、監査役会からの要請に基づき、監査役の職務の補助として調査を行うことができる。</w:t>
      </w:r>
    </w:p>
    <w:p>
      <w:pPr>
        <w:pStyle w:val="ListBullet"/>
        <w:ind w:left="240"/>
      </w:pPr>
      <w:r>
        <w:rPr>
          <w:rFonts w:eastAsia="Hiragino Sans" w:ascii="Hiragino Sans" w:hAnsi="Hiragino Sans"/>
          <w:b w:val="0"/>
          <w:sz w:val="20"/>
        </w:rPr>
        <w:t>会計監査人が内部監査の作業を利用しようとする場合、内部監査室長は監査役会と協議のうえ、提供する調書及び報告書の範囲を決定する。</w:t>
      </w:r>
    </w:p>
    <w:p>
      <w:pPr>
        <w:pStyle w:val="Heading2"/>
      </w:pPr>
      <w:r>
        <w:t>第22条（財務報告に係る内部統制の評価との関係）</w:t>
      </w:r>
    </w:p>
    <w:p>
      <w:pPr>
        <w:pStyle w:val="ListBullet"/>
        <w:ind w:left="240"/>
      </w:pPr>
      <w:r>
        <w:rPr>
          <w:rFonts w:eastAsia="Hiragino Sans" w:ascii="Hiragino Sans" w:hAnsi="Hiragino Sans"/>
          <w:b w:val="0"/>
          <w:sz w:val="20"/>
        </w:rPr>
        <w:t>内部監査室は、財務報告に係る内部統制の経営者評価について、内部統制統括責任者から独立した立場で評価結果をレビューし、必要に応じて独立的評価を行う。</w:t>
      </w:r>
    </w:p>
    <w:p>
      <w:pPr>
        <w:pStyle w:val="ListBullet"/>
        <w:ind w:left="240"/>
      </w:pPr>
      <w:r>
        <w:rPr>
          <w:rFonts w:eastAsia="Hiragino Sans" w:ascii="Hiragino Sans" w:hAnsi="Hiragino Sans"/>
          <w:b w:val="0"/>
          <w:sz w:val="20"/>
        </w:rPr>
        <w:t>内部監査室は、業務監査において識別した財務報告に係る内部統制の不備を内部統制統括責任者に通知し、不備の評価及び内部統制報告書への反映について協議する。</w:t>
      </w:r>
    </w:p>
    <w:p>
      <w:pPr>
        <w:pStyle w:val="ListBullet"/>
        <w:ind w:left="240"/>
      </w:pPr>
      <w:r>
        <w:rPr>
          <w:rFonts w:eastAsia="Hiragino Sans" w:ascii="Hiragino Sans" w:hAnsi="Hiragino Sans"/>
          <w:b w:val="0"/>
          <w:sz w:val="20"/>
        </w:rPr>
        <w:t>前二項の関与は、経営者評価の一次的な実施を内部監査室が担うことを意味しない。</w:t>
      </w:r>
    </w:p>
    <w:p>
      <w:pPr>
        <w:pStyle w:val="Heading2"/>
      </w:pPr>
      <w:r>
        <w:t>第23条（内部通報及び不正調査への関与）</w:t>
      </w:r>
    </w:p>
    <w:p>
      <w:pPr>
        <w:pStyle w:val="ListBullet"/>
        <w:ind w:left="240"/>
      </w:pPr>
      <w:r>
        <w:rPr>
          <w:rFonts w:eastAsia="Hiragino Sans" w:ascii="Hiragino Sans" w:hAnsi="Hiragino Sans"/>
          <w:b w:val="0"/>
          <w:sz w:val="20"/>
        </w:rPr>
        <w:t>内部通報規程に基づく通報のうち、会計、購買、支払その他の財務報告に関わる事項については、内部監査室が調査に参加する。</w:t>
      </w:r>
    </w:p>
    <w:p>
      <w:pPr>
        <w:pStyle w:val="ListBullet"/>
        <w:ind w:left="240"/>
      </w:pPr>
      <w:r>
        <w:rPr>
          <w:rFonts w:eastAsia="Hiragino Sans" w:ascii="Hiragino Sans" w:hAnsi="Hiragino Sans"/>
          <w:b w:val="0"/>
          <w:sz w:val="20"/>
        </w:rPr>
        <w:t>不正の疑いに係る調査は、代表取締役社長又は監査役会の指示に基づき、必要に応じて外部専門家の協力を得て行う。内部監査室長は、調査の対象に自らの独立性を損なう事情があるときは、その旨を監査役会に申し出る。</w:t>
      </w:r>
    </w:p>
    <w:p>
      <w:pPr>
        <w:pStyle w:val="Heading1"/>
      </w:pPr>
      <w:r>
        <w:t>第7章　品質及び人材</w:t>
      </w:r>
    </w:p>
    <w:p>
      <w:pPr>
        <w:pStyle w:val="Heading2"/>
      </w:pPr>
      <w:r>
        <w:t>第24条（品質のアシュアランスと改善）</w:t>
      </w:r>
    </w:p>
    <w:p>
      <w:pPr>
        <w:pStyle w:val="ListBullet"/>
        <w:ind w:left="240"/>
      </w:pPr>
      <w:r>
        <w:rPr>
          <w:rFonts w:eastAsia="Hiragino Sans" w:ascii="Hiragino Sans" w:hAnsi="Hiragino Sans"/>
          <w:b w:val="0"/>
          <w:sz w:val="20"/>
        </w:rPr>
        <w:t>内部監査室長は、内部監査の品質を維持・向上させるため、品質のアシュアランスと改善のプログラムを整備し、運用する。</w:t>
      </w:r>
    </w:p>
    <w:p>
      <w:pPr>
        <w:pStyle w:val="ListBullet"/>
        <w:ind w:left="240"/>
      </w:pPr>
      <w:r>
        <w:rPr>
          <w:rFonts w:eastAsia="Hiragino Sans" w:ascii="Hiragino Sans" w:hAnsi="Hiragino Sans"/>
          <w:b w:val="0"/>
          <w:sz w:val="20"/>
        </w:rPr>
        <w:t>内部監査室は、毎年1回、本規程、内部監査マニュアル及び準拠する基準への適合状況について内部評価（自己評価）を行い、その結果を監査役会に報告する。</w:t>
      </w:r>
    </w:p>
    <w:p>
      <w:pPr>
        <w:pStyle w:val="ListBullet"/>
        <w:ind w:left="240"/>
      </w:pPr>
      <w:r>
        <w:rPr>
          <w:rFonts w:eastAsia="Hiragino Sans" w:ascii="Hiragino Sans" w:hAnsi="Hiragino Sans"/>
          <w:b w:val="0"/>
          <w:sz w:val="20"/>
        </w:rPr>
        <w:t>内部監査室は、少なくとも5年に1回、外部の適格な評価者による外部評価を受け、その結果及び改善計画を取締役会及び監査役会に報告する。</w:t>
      </w:r>
    </w:p>
    <w:p>
      <w:pPr>
        <w:pStyle w:val="Heading2"/>
      </w:pPr>
      <w:r>
        <w:t>第25条（人材育成及び外部専門家の利用）</w:t>
      </w:r>
    </w:p>
    <w:p>
      <w:pPr>
        <w:pStyle w:val="ListBullet"/>
        <w:ind w:left="240"/>
      </w:pPr>
      <w:r>
        <w:rPr>
          <w:rFonts w:eastAsia="Hiragino Sans" w:ascii="Hiragino Sans" w:hAnsi="Hiragino Sans"/>
          <w:b w:val="0"/>
          <w:sz w:val="20"/>
        </w:rPr>
        <w:t>内部監査室長は、室員の専門的能力（会計、内部統制、情報システム、データ分析、不正調査等）の維持・向上のため、年間の研修計画を策定し、室員1人あたり年40時間以上の継続的専門能力開発の機会を確保する。</w:t>
      </w:r>
    </w:p>
    <w:p>
      <w:pPr>
        <w:pStyle w:val="ListBullet"/>
        <w:ind w:left="240"/>
      </w:pPr>
      <w:r>
        <w:rPr>
          <w:rFonts w:eastAsia="Hiragino Sans" w:ascii="Hiragino Sans" w:hAnsi="Hiragino Sans"/>
          <w:b w:val="0"/>
          <w:sz w:val="20"/>
        </w:rPr>
        <w:t>内部監査室は、監査に必要な専門的知識を室内で確保できない場合、代表取締役社長の承認を得て外部専門家を利用することができる。この場合、外部専門家の独立性及び能力を確認し、その作業の結果に対する責任は内部監査室が負う。</w:t>
      </w:r>
    </w:p>
    <w:p>
      <w:pPr>
        <w:pStyle w:val="Heading2"/>
      </w:pPr>
      <w:r>
        <w:t>第26条（内部監査マニュアル）</w:t>
      </w:r>
    </w:p>
    <w:p>
      <w:pPr>
        <w:spacing w:after="80"/>
      </w:pPr>
      <w:r>
        <w:rPr>
          <w:rFonts w:eastAsia="Hiragino Sans" w:ascii="Hiragino Sans" w:hAnsi="Hiragino Sans"/>
          <w:b w:val="0"/>
          <w:i w:val="0"/>
        </w:rPr>
        <w:t>内部監査室長は、本規程に基づく監査の手順、様式（年度内部監査計画書、個別監査計画書、内部監査実施通知書、監査調書、内部監査報告書、フォローアップ台帳等）及び品質管理の要領を内部監査マニュアルとして定め、毎年見直す。</w:t>
      </w:r>
    </w:p>
    <w:p>
      <w:pPr>
        <w:pStyle w:val="Heading1"/>
      </w:pPr>
      <w:r>
        <w:t>第8章　雑則</w:t>
      </w:r>
    </w:p>
    <w:p>
      <w:pPr>
        <w:pStyle w:val="Heading2"/>
      </w:pPr>
      <w:r>
        <w:t>第27条（子会社への適用）</w:t>
      </w:r>
    </w:p>
    <w:p>
      <w:pPr>
        <w:pStyle w:val="ListBullet"/>
        <w:ind w:left="240"/>
      </w:pPr>
      <w:r>
        <w:rPr>
          <w:rFonts w:eastAsia="Hiragino Sans" w:ascii="Hiragino Sans" w:hAnsi="Hiragino Sans"/>
          <w:b w:val="0"/>
          <w:sz w:val="20"/>
        </w:rPr>
        <w:t>子会社は、本規程に準じて内部監査に関する規程を整備するか、又は当社の内部監査室による監査を受け入れる旨を定める。</w:t>
      </w:r>
    </w:p>
    <w:p>
      <w:pPr>
        <w:pStyle w:val="ListBullet"/>
        <w:ind w:left="240"/>
      </w:pPr>
      <w:r>
        <w:rPr>
          <w:rFonts w:eastAsia="Hiragino Sans" w:ascii="Hiragino Sans" w:hAnsi="Hiragino Sans"/>
          <w:b w:val="0"/>
          <w:sz w:val="20"/>
        </w:rPr>
        <w:t>子会社の監査役又は監査担当部門が実施した監査の結果は、内部監査室が必要と認める範囲で利用することができる。</w:t>
      </w:r>
    </w:p>
    <w:p>
      <w:pPr>
        <w:pStyle w:val="Heading2"/>
      </w:pPr>
      <w:r>
        <w:t>第28条（改廃）</w:t>
      </w:r>
    </w:p>
    <w:p>
      <w:pPr>
        <w:spacing w:after="80"/>
      </w:pPr>
      <w:r>
        <w:rPr>
          <w:rFonts w:eastAsia="Hiragino Sans" w:ascii="Hiragino Sans" w:hAnsi="Hiragino Sans"/>
          <w:b w:val="0"/>
          <w:i w:val="0"/>
        </w:rPr>
        <w:t>本規程の改廃は、監査役会の意見を聴いたうえで、取締役会の決議による。</w:t>
      </w:r>
    </w:p>
    <w:p>
      <w:pPr>
        <w:jc w:val="center"/>
      </w:pPr>
      <w:r>
        <w:t>────────────────────────────────────────</w:t>
      </w:r>
    </w:p>
    <w:p>
      <w:pPr>
        <w:pStyle w:val="Heading1"/>
      </w:pPr>
      <w:r>
        <w:t>附則</w:t>
      </w:r>
    </w:p>
    <w:p>
      <w:pPr>
        <w:pStyle w:val="ListBullet"/>
        <w:ind w:left="240"/>
      </w:pPr>
      <w:r>
        <w:rPr>
          <w:rFonts w:eastAsia="Hiragino Sans" w:ascii="Hiragino Sans" w:hAnsi="Hiragino Sans"/>
          <w:b w:val="0"/>
          <w:sz w:val="20"/>
        </w:rPr>
        <w:t>本規程は、2012年4月1日から施行する。</w:t>
      </w:r>
    </w:p>
    <w:p>
      <w:pPr>
        <w:pStyle w:val="ListBullet"/>
        <w:ind w:left="240"/>
      </w:pPr>
      <w:r>
        <w:rPr>
          <w:rFonts w:eastAsia="Hiragino Sans" w:ascii="Hiragino Sans" w:hAnsi="Hiragino Sans"/>
          <w:b w:val="0"/>
          <w:sz w:val="20"/>
        </w:rPr>
        <w:t>本規程は、2016年4月1日に改正し（第2版）、同日から施行する。</w:t>
      </w:r>
    </w:p>
    <w:p>
      <w:pPr>
        <w:pStyle w:val="ListBullet"/>
        <w:ind w:left="240"/>
      </w:pPr>
      <w:r>
        <w:rPr>
          <w:rFonts w:eastAsia="Hiragino Sans" w:ascii="Hiragino Sans" w:hAnsi="Hiragino Sans"/>
          <w:b w:val="0"/>
          <w:sz w:val="20"/>
        </w:rPr>
        <w:t>本規程は、2022年4月1日に改正し（第3版）、同日から施行する。</w:t>
      </w:r>
    </w:p>
    <w:p>
      <w:pPr>
        <w:pStyle w:val="ListBullet"/>
        <w:ind w:left="240"/>
      </w:pPr>
      <w:r>
        <w:rPr>
          <w:rFonts w:eastAsia="Hiragino Sans" w:ascii="Hiragino Sans" w:hAnsi="Hiragino Sans"/>
          <w:b w:val="0"/>
          <w:sz w:val="20"/>
        </w:rPr>
        <w:t>本規程は、2025年4月1日に改正し（第4版）、同日から施行する。</w:t>
      </w:r>
    </w:p>
    <w:tbl>
      <w:tblPr>
        <w:tblStyle w:val="TableGrid"/>
        <w:tblW w:type="auto" w:w="0"/>
        <w:jc w:val="center"/>
        <w:tblLayout w:type="autofit"/>
        <w:tblLook w:firstColumn="1" w:firstRow="1" w:lastColumn="0" w:lastRow="0" w:noHBand="0" w:noVBand="1" w:val="04A0"/>
      </w:tblPr>
      <w:tblGrid>
        <w:gridCol w:w="3324"/>
        <w:gridCol w:w="3324"/>
        <w:gridCol w:w="3324"/>
      </w:tblGrid>
      <w:tr>
        <w:tc>
          <w:tcPr>
            <w:tcW w:type="dxa" w:w="3324"/>
            <w:shd w:val="clear" w:fill="24406B"/>
          </w:tcPr>
          <w:p>
            <w:r/>
            <w:r>
              <w:rPr>
                <w:rFonts w:eastAsia="Hiragino Sans" w:ascii="Hiragino Sans" w:hAnsi="Hiragino Sans"/>
                <w:b/>
                <w:color w:val="FFFFFF"/>
                <w:sz w:val="18"/>
              </w:rPr>
              <w:t>版</w:t>
            </w:r>
          </w:p>
        </w:tc>
        <w:tc>
          <w:tcPr>
            <w:tcW w:type="dxa" w:w="3324"/>
            <w:shd w:val="clear" w:fill="24406B"/>
          </w:tcPr>
          <w:p>
            <w:r/>
            <w:r>
              <w:rPr>
                <w:rFonts w:eastAsia="Hiragino Sans" w:ascii="Hiragino Sans" w:hAnsi="Hiragino Sans"/>
                <w:b/>
                <w:color w:val="FFFFFF"/>
                <w:sz w:val="18"/>
              </w:rPr>
              <w:t>施行日</w:t>
            </w:r>
          </w:p>
        </w:tc>
        <w:tc>
          <w:tcPr>
            <w:tcW w:type="dxa" w:w="3324"/>
            <w:shd w:val="clear" w:fill="24406B"/>
          </w:tcPr>
          <w:p>
            <w:r/>
            <w:r>
              <w:rPr>
                <w:rFonts w:eastAsia="Hiragino Sans" w:ascii="Hiragino Sans" w:hAnsi="Hiragino Sans"/>
                <w:b/>
                <w:color w:val="FFFFFF"/>
                <w:sz w:val="18"/>
              </w:rPr>
              <w:t>主な改正内容</w:t>
            </w:r>
          </w:p>
        </w:tc>
      </w:tr>
      <w:tr>
        <w:tc>
          <w:tcPr>
            <w:tcW w:type="dxa" w:w="3324"/>
          </w:tcPr>
          <w:p>
            <w:r/>
            <w:r>
              <w:rPr>
                <w:rFonts w:eastAsia="Hiragino Sans" w:ascii="Hiragino Sans" w:hAnsi="Hiragino Sans"/>
                <w:b w:val="0"/>
                <w:sz w:val="18"/>
              </w:rPr>
              <w:t>第1版</w:t>
            </w:r>
          </w:p>
        </w:tc>
        <w:tc>
          <w:tcPr>
            <w:tcW w:type="dxa" w:w="3324"/>
          </w:tcPr>
          <w:p>
            <w:r/>
            <w:r>
              <w:rPr>
                <w:rFonts w:eastAsia="Hiragino Sans" w:ascii="Hiragino Sans" w:hAnsi="Hiragino Sans"/>
                <w:b w:val="0"/>
                <w:sz w:val="18"/>
              </w:rPr>
              <w:t>2012年4月1日</w:t>
            </w:r>
          </w:p>
        </w:tc>
        <w:tc>
          <w:tcPr>
            <w:tcW w:type="dxa" w:w="3324"/>
          </w:tcPr>
          <w:p>
            <w:r/>
            <w:r>
              <w:rPr>
                <w:rFonts w:eastAsia="Hiragino Sans" w:ascii="Hiragino Sans" w:hAnsi="Hiragino Sans"/>
                <w:b w:val="0"/>
                <w:sz w:val="18"/>
              </w:rPr>
              <w:t>制定</w:t>
            </w:r>
          </w:p>
        </w:tc>
      </w:tr>
      <w:tr>
        <w:tc>
          <w:tcPr>
            <w:tcW w:type="dxa" w:w="3324"/>
            <w:shd w:val="clear" w:fill="F7F8FA"/>
          </w:tcPr>
          <w:p>
            <w:r/>
            <w:r>
              <w:rPr>
                <w:rFonts w:eastAsia="Hiragino Sans" w:ascii="Hiragino Sans" w:hAnsi="Hiragino Sans"/>
                <w:b w:val="0"/>
                <w:sz w:val="18"/>
              </w:rPr>
              <w:t>第2版</w:t>
            </w:r>
          </w:p>
        </w:tc>
        <w:tc>
          <w:tcPr>
            <w:tcW w:type="dxa" w:w="3324"/>
            <w:shd w:val="clear" w:fill="F7F8FA"/>
          </w:tcPr>
          <w:p>
            <w:r/>
            <w:r>
              <w:rPr>
                <w:rFonts w:eastAsia="Hiragino Sans" w:ascii="Hiragino Sans" w:hAnsi="Hiragino Sans"/>
                <w:b w:val="0"/>
                <w:sz w:val="18"/>
              </w:rPr>
              <w:t>2016年4月1日</w:t>
            </w:r>
          </w:p>
        </w:tc>
        <w:tc>
          <w:tcPr>
            <w:tcW w:type="dxa" w:w="3324"/>
            <w:shd w:val="clear" w:fill="F7F8FA"/>
          </w:tcPr>
          <w:p>
            <w:r/>
            <w:r>
              <w:rPr>
                <w:rFonts w:eastAsia="Hiragino Sans" w:ascii="Hiragino Sans" w:hAnsi="Hiragino Sans"/>
                <w:b w:val="0"/>
                <w:sz w:val="18"/>
              </w:rPr>
              <w:t>内部通報との連携（第23条）、子会社への適用（第27条）を追加</w:t>
            </w:r>
          </w:p>
        </w:tc>
      </w:tr>
      <w:tr>
        <w:tc>
          <w:tcPr>
            <w:tcW w:type="dxa" w:w="3324"/>
          </w:tcPr>
          <w:p>
            <w:r/>
            <w:r>
              <w:rPr>
                <w:rFonts w:eastAsia="Hiragino Sans" w:ascii="Hiragino Sans" w:hAnsi="Hiragino Sans"/>
                <w:b w:val="0"/>
                <w:sz w:val="18"/>
              </w:rPr>
              <w:t>第3版</w:t>
            </w:r>
          </w:p>
        </w:tc>
        <w:tc>
          <w:tcPr>
            <w:tcW w:type="dxa" w:w="3324"/>
          </w:tcPr>
          <w:p>
            <w:r/>
            <w:r>
              <w:rPr>
                <w:rFonts w:eastAsia="Hiragino Sans" w:ascii="Hiragino Sans" w:hAnsi="Hiragino Sans"/>
                <w:b w:val="0"/>
                <w:sz w:val="18"/>
              </w:rPr>
              <w:t>2022年4月1日</w:t>
            </w:r>
          </w:p>
        </w:tc>
        <w:tc>
          <w:tcPr>
            <w:tcW w:type="dxa" w:w="3324"/>
          </w:tcPr>
          <w:p>
            <w:r/>
            <w:r>
              <w:rPr>
                <w:rFonts w:eastAsia="Hiragino Sans" w:ascii="Hiragino Sans" w:hAnsi="Hiragino Sans"/>
                <w:b w:val="0"/>
                <w:sz w:val="18"/>
              </w:rPr>
              <w:t>監査役会への直接報告（第8条）を明記（2021年改訂コーポレートガバナンス・コードが求めた内部監査部門から取締役会・監査役会への直接報告への対応）。内部監査室長の任免に監査役会の同意を要件化（第9条）</w:t>
            </w:r>
          </w:p>
        </w:tc>
      </w:tr>
      <w:tr>
        <w:tc>
          <w:tcPr>
            <w:tcW w:type="dxa" w:w="3324"/>
            <w:shd w:val="clear" w:fill="F7F8FA"/>
          </w:tcPr>
          <w:p>
            <w:r/>
            <w:r>
              <w:rPr>
                <w:rFonts w:eastAsia="Hiragino Sans" w:ascii="Hiragino Sans" w:hAnsi="Hiragino Sans"/>
                <w:b w:val="0"/>
                <w:sz w:val="18"/>
              </w:rPr>
              <w:t>第4版</w:t>
            </w:r>
          </w:p>
        </w:tc>
        <w:tc>
          <w:tcPr>
            <w:tcW w:type="dxa" w:w="3324"/>
            <w:shd w:val="clear" w:fill="F7F8FA"/>
          </w:tcPr>
          <w:p>
            <w:r/>
            <w:r>
              <w:rPr>
                <w:rFonts w:eastAsia="Hiragino Sans" w:ascii="Hiragino Sans" w:hAnsi="Hiragino Sans"/>
                <w:b w:val="0"/>
                <w:sz w:val="18"/>
              </w:rPr>
              <w:t>2025年4月1日</w:t>
            </w:r>
          </w:p>
        </w:tc>
        <w:tc>
          <w:tcPr>
            <w:tcW w:type="dxa" w:w="3324"/>
            <w:shd w:val="clear" w:fill="F7F8FA"/>
          </w:tcPr>
          <w:p>
            <w:r/>
            <w:r>
              <w:rPr>
                <w:rFonts w:eastAsia="Hiragino Sans" w:ascii="Hiragino Sans" w:hAnsi="Hiragino Sans"/>
                <w:b w:val="0"/>
                <w:sz w:val="18"/>
              </w:rPr>
              <w:t>グローバル内部監査基準（2025年1月9日発効）への準拠を明記（第4条・第5条）。品質のアシュアランスと改善（第24条）に外部評価の周期（5年）を規定。CAATによる全件分析（第14条）を明記</w:t>
            </w:r>
          </w:p>
        </w:tc>
      </w:tr>
    </w:tbl>
    <w:p>
      <w:pPr>
        <w:spacing w:after="40"/>
      </w:pPr>
    </w:p>
    <w:p>
      <w:pPr>
        <w:ind w:left="120"/>
        <w:shd w:val="clear" w:fill="F3F4F6"/>
        <w:pBdr>
          <w:left w:val="single" w:sz="18" w:space="6" w:color="24406B"/>
        </w:pBdr>
      </w:pPr>
      <w:r>
        <w:rPr>
          <w:rFonts w:eastAsia="Hiragino Sans" w:ascii="Hiragino Sans" w:hAnsi="Hiragino Sans"/>
          <w:b w:val="0"/>
          <w:i/>
          <w:color w:val="444444"/>
          <w:sz w:val="18"/>
        </w:rPr>
        <w:t>チェック観点: 第8条（直接報告）と第9条（任免の同意）は、上場会社としてコーポレートガバナンス・コード（2026年改訂）原則4-4とその解釈指針（取締役会が内部監査部門を活用して監督する仕組み・内部監査部門からの直接報告）に対応する最低限の設計である。監査等委員会設置会社・指名委員会等設置会社では「監査役会」を「監査等委員会」「監査委員会」に読み替える。第15条の保存期間（7年）は自社の文書管理規程と一致させる。</w:t>
      </w:r>
    </w:p>
    <w:sectPr w:rsidR="00FC693F" w:rsidRPr="0006063C" w:rsidSect="00034616">
      <w:footerReference w:type="default" r:id="rId9"/>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eastAsia="Hiragino Sans" w:ascii="Hiragino Sans" w:hAnsi="Hiragino Sans"/>
        <w:color w:val="6B7280"/>
        <w:sz w:val="16"/>
      </w:rPr>
      <w:t xml:space="preserve">内部監査規程（O-07）第4版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iragino Sans" w:hAnsi="Hiragino Sans" w:eastAsia="Hiragino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Hiragino Sans" w:hAnsi="Hiragino Sans" w:eastAsia="Hiragino Sans"/>
      <w:b/>
      <w:bCs/>
      <w:color w:val="24406B"/>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Hiragino Sans" w:hAnsi="Hiragino Sans" w:eastAsia="Hiragino Sans"/>
      <w:b/>
      <w:bCs/>
      <w:color w:val="24406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Hiragino Sans" w:hAnsi="Hiragino Sans" w:eastAsia="Hiragino Sans"/>
      <w:b/>
      <w:bCs/>
      <w:color w:val="33333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Hiragino Sans" w:hAnsi="Hiragino Sans" w:eastAsia="Hiragino Sans"/>
      <w:b/>
      <w:bCs/>
      <w:i/>
      <w:iCs/>
      <w:color w:val="555555"/>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generated by python-docx</dc:description>
  <cp:revision>1</cp:revision>
  <dcterms:created xsi:type="dcterms:W3CDTF">2013-12-23T23:15:00Z</dcterms:created>
  <dcterms:modified xsi:type="dcterms:W3CDTF">2013-12-23T23:15:00Z</dcterms:modified>
  <cp:category/>
  <dc:creator>BENTO</dc:creator>
  <cp:lastModifiedBy>BENTO</cp:lastModifiedBy>
</cp:coreProperties>
</file>