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before="240"/>
        <w:jc w:val="center"/>
      </w:pPr>
      <w:r>
        <w:rPr>
          <w:rFonts w:ascii="Yu Gothic" w:cs="Yu Gothic" w:eastAsia="Yu Gothic" w:hAnsi="Yu Gothic"/>
          <w:b/>
          <w:bCs/>
          <w:sz w:val="34"/>
          <w:szCs w:val="34"/>
        </w:rPr>
        <w:t xml:space="preserve">個別監査計画書</w:t>
      </w:r>
    </w:p>
    <w:p>
      <w:pPr>
        <w:spacing w:after="20"/>
        <w:jc w:val="center"/>
      </w:pPr>
      <w:r>
        <w:rPr>
          <w:rFonts w:ascii="Yu Gothic" w:cs="Yu Gothic" w:eastAsia="Yu Gothic" w:hAnsi="Yu Gothic"/>
          <w:b w:val="false"/>
          <w:bCs w:val="false"/>
          <w:sz w:val="22"/>
          <w:szCs w:val="22"/>
        </w:rPr>
        <w:t xml:space="preserve">サンプル製造株式会社 内部監査室</w:t>
      </w:r>
    </w:p>
    <w:p>
      <w:pPr>
        <w:spacing w:after="160"/>
        <w:jc w:val="center"/>
      </w:pPr>
      <w:r>
        <w:rPr>
          <w:rFonts w:ascii="Yu Gothic" w:cs="Yu Gothic" w:eastAsia="Yu Gothic" w:hAnsi="Yu Gothic"/>
          <w:b w:val="false"/>
          <w:bCs w:val="false"/>
          <w:color w:val="8A8170"/>
          <w:sz w:val="18"/>
          <w:szCs w:val="18"/>
        </w:rPr>
        <w:t xml:space="preserve">購買・支払プロセスの内部監査</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計画書番号</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IA-2025-04</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監査テーマ</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購買・支払プロセスの内部監査</w:t>
            </w:r>
          </w:p>
        </w:tc>
      </w:tr>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対象期間</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2025年4月〜2026年3月</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被監査部門</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購買部長</w:t>
            </w:r>
          </w:p>
          <w:p>
            <w:pPr>
              <w:spacing w:after="0"/>
            </w:pPr>
            <w:r>
              <w:rPr>
                <w:rFonts w:ascii="Yu Gothic" w:cs="Yu Gothic" w:eastAsia="Yu Gothic" w:hAnsi="Yu Gothic"/>
                <w:b w:val="false"/>
                <w:bCs w:val="false"/>
                <w:sz w:val="15"/>
                <w:szCs w:val="15"/>
              </w:rPr>
              <w:t xml:space="preserve">検収部門責任者（諏訪工場・第二工場）</w:t>
            </w:r>
          </w:p>
          <w:p>
            <w:pPr>
              <w:spacing w:after="0"/>
            </w:pPr>
            <w:r>
              <w:rPr>
                <w:rFonts w:ascii="Yu Gothic" w:cs="Yu Gothic" w:eastAsia="Yu Gothic" w:hAnsi="Yu Gothic"/>
                <w:b w:val="false"/>
                <w:bCs w:val="false"/>
                <w:sz w:val="15"/>
                <w:szCs w:val="15"/>
              </w:rPr>
              <w:t xml:space="preserve">経理部長</w:t>
            </w:r>
          </w:p>
          <w:p>
            <w:pPr>
              <w:spacing w:after="0"/>
            </w:pPr>
            <w:r>
              <w:rPr>
                <w:rFonts w:ascii="Yu Gothic" w:cs="Yu Gothic" w:eastAsia="Yu Gothic" w:hAnsi="Yu Gothic"/>
                <w:b w:val="false"/>
                <w:bCs w:val="false"/>
                <w:sz w:val="15"/>
                <w:szCs w:val="15"/>
              </w:rPr>
              <w:t xml:space="preserve">情報システム部長</w:t>
            </w:r>
          </w:p>
        </w:tc>
      </w:tr>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承認者</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内部監査室長 田中</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承認日</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2026-01-23</w:t>
            </w:r>
          </w:p>
        </w:tc>
      </w:tr>
    </w:tbl>
    <w:p>
      <w:pPr>
        <w:pStyle w:val="Heading2"/>
        <w:spacing w:after="90" w:before="240"/>
      </w:pPr>
      <w:r>
        <w:rPr>
          <w:rFonts w:ascii="Yu Gothic" w:cs="Yu Gothic" w:eastAsia="Yu Gothic" w:hAnsi="Yu Gothic"/>
          <w:b/>
          <w:bCs/>
        </w:rPr>
        <w:t xml:space="preserve">1. 監査目的</w:t>
      </w:r>
    </w:p>
    <w:p>
      <w:pPr>
        <w:spacing w:after="60"/>
      </w:pPr>
      <w:r>
        <w:rPr>
          <w:rFonts w:ascii="Yu Gothic" w:cs="Yu Gothic" w:eastAsia="Yu Gothic" w:hAnsi="Yu Gothic"/>
          <w:b w:val="false"/>
          <w:bCs w:val="false"/>
          <w:sz w:val="20"/>
          <w:szCs w:val="20"/>
        </w:rPr>
        <w:t xml:space="preserve">サンプル製造株式会社の購買・支払プロセス(取引先登録・購買マスタ／購買依頼・発注／検収／請求書照合(3way match)／支払／債務・残高管理／正規フロー外取引)を対象に、(1)購買取引の正確性・網羅性・実在性・期間帰属を担保する内部統制の整備状況と運用状況の有効性を、整備不備と運用不備を明確に区分して評価し、(2)架空仕入・キックバック・水増し請求・不正口座振込(BEC型口座詐取を含む)・私的流用等の会計不正リスクおよび業務非効率を識別し、(3)グローバル内部監査基準(GIAS、2025年1月9日発効)に準拠した独立的・客観的アシュアランスを取締役会・監査役会へ提供すること。J-SOX対象の購買プロセス・キーコントロール(KC)の整備運用評価結果も活用し、二重評価を回避しつつ業務監査の視点を付加する。</w:t>
      </w:r>
    </w:p>
    <w:p>
      <w:pPr>
        <w:pStyle w:val="Heading2"/>
        <w:spacing w:after="90" w:before="240"/>
      </w:pPr>
      <w:r>
        <w:rPr>
          <w:rFonts w:ascii="Yu Gothic" w:cs="Yu Gothic" w:eastAsia="Yu Gothic" w:hAnsi="Yu Gothic"/>
          <w:b/>
          <w:bCs/>
        </w:rPr>
        <w:t xml:space="preserve">2. 監査範囲</w:t>
      </w:r>
    </w:p>
    <w:p>
      <w:pPr>
        <w:spacing w:after="60"/>
      </w:pPr>
      <w:r>
        <w:rPr>
          <w:rFonts w:ascii="Yu Gothic" w:cs="Yu Gothic" w:eastAsia="Yu Gothic" w:hAnsi="Yu Gothic"/>
          <w:b w:val="false"/>
          <w:bCs w:val="false"/>
          <w:sz w:val="20"/>
          <w:szCs w:val="20"/>
        </w:rPr>
        <w:t xml:space="preserve">対象期間: 2025年4月1日〜2026年3月31日。対象組織: 本社購買部・検収部門・経理部(買掛金/支払/購買経理)、主要製造拠点(諏訪工場(主力)・第二工場)の現地検収・受入。対象勘定: 原材料・貯蔵品・買掛金・未払金・前渡金・購買関連の費用計上(間接費・消耗品費・修繕費のうち購買経由分)。対象システム: 購買管理システム(PUR/ワークフロー)、検収・入庫管理システム(WMS)、買掛金管理サブシステム(AP)、振込(FB)システム、仕入先マスタ。正規フロー外取引(スポット購買・経費精算・購買カード・立替)は本年度よりCAATによる全件スクリーニングを行いリスク評価対象に含める(従来『概況把握のみ』としていた範囲をリスク評価で根拠づけたうえで再設定)。除外: 固定資産購入(別途固定資産プロセス監査で対応)、外注加工費の原価配賦(製造原価プロセスで対応)、海外子会社の購買(当年度はスコープ外、次年度検討)。</w:t>
      </w:r>
    </w:p>
    <w:p>
      <w:pPr>
        <w:pStyle w:val="Heading2"/>
        <w:spacing w:after="90" w:before="240"/>
      </w:pPr>
      <w:r>
        <w:rPr>
          <w:rFonts w:ascii="Yu Gothic" w:cs="Yu Gothic" w:eastAsia="Yu Gothic" w:hAnsi="Yu Gothic"/>
          <w:b/>
          <w:bCs/>
        </w:rPr>
        <w:t xml:space="preserve">3. 監査基準</w:t>
      </w:r>
    </w:p>
    <w:p>
      <w:pPr>
        <w:spacing w:after="60"/>
      </w:pPr>
      <w:r>
        <w:rPr>
          <w:rFonts w:ascii="Yu Gothic" w:cs="Yu Gothic" w:eastAsia="Yu Gothic" w:hAnsi="Yu Gothic"/>
          <w:b w:val="false"/>
          <w:bCs w:val="false"/>
          <w:sz w:val="20"/>
          <w:szCs w:val="20"/>
        </w:rPr>
        <w:t xml:space="preserve">(1)社内規程(版数・施行日を確定して引用): 購買管理規程(第7版・2024年4月1日施行)、職務権限規程(第5版・2025年4月1日施行。発注決裁限度=課長100万円未満/部長1,000万円未満/役員1,000万円以上、相見積りは50万円以上で2社以上必須)、与信取引先管理規程(第3版・2023年10月1日施行)、支払業務規程(第4版・2024年10月1日施行)、マスタ管理規程(第2版・2025年4月1日施行)、職務分掌規程(第6版・2025年4月1日施行)。3way match許容差異(トレランス)基準は規程上の確定値が未整備であることを本監査の前提とする。(2)J-SOX文書: 購買プロセス(P102-00)のRCM・業務記述書・フローチャート(3点セット)に定義されたキーコントロール。(3)外部基準: グローバル内部監査基準(GIAS、IIA。2024年1月公表・2025年1月9日発効。日本内部監査協会による日本語版は2024年7月公表)、財務報告に係る内部統制の評価・監査の基準、COSO内部統制フレームワーク。(4)アサーション: 実在性(E)・網羅性(C)・権利と義務(RO)・評価の妥当性(V)・期間帰属(CO)。各指摘は整備状況・運用状況を区分して評価する。決裁限度・相見積り閾値・限度直下の定義レンジは事前に被監査部門と合意のうえ証跡化する。</w:t>
      </w:r>
    </w:p>
    <w:p>
      <w:pPr>
        <w:pStyle w:val="Heading2"/>
        <w:spacing w:after="90" w:before="240"/>
      </w:pPr>
      <w:r>
        <w:rPr>
          <w:rFonts w:ascii="Yu Gothic" w:cs="Yu Gothic" w:eastAsia="Yu Gothic" w:hAnsi="Yu Gothic"/>
          <w:b/>
          <w:bCs/>
        </w:rPr>
        <w:t xml:space="preserve">4. アプローチとリスク評価の要約</w:t>
      </w:r>
    </w:p>
    <w:p>
      <w:pPr>
        <w:spacing w:after="60"/>
      </w:pPr>
      <w:r>
        <w:rPr>
          <w:rFonts w:ascii="Yu Gothic" w:cs="Yu Gothic" w:eastAsia="Yu Gothic" w:hAnsi="Yu Gothic"/>
          <w:b w:val="false"/>
          <w:bCs w:val="false"/>
          <w:sz w:val="20"/>
          <w:szCs w:val="20"/>
        </w:rPr>
        <w:t xml:space="preserve">リスクベース・アプローチ。年間監査計画(監査ユニバースのリスク評価で当年度対象に選定)に基づき、購買・支払の各サブプロセスを固有リスク×既存統制で残余リスク評価し、残余リスク「高」のサブプロセスに監査資源を重点配分。本年度は相見積りの実質性・利益相反(残余リスク高)に手続深度を最も厚く配分し、正規フロー外取引(スポット・経費精算・購買カード)のサブプロセス空白を埋める。手続は、(a)ウォークスルーによる整備状況評価、(b)KC運用評価のサンプルテスト(再実施・査閲・突合)、(c)CAATによる全件データ分析(発注未承認・3way不一致・分割発注・限度直下発注・事後発注・休眠仕入先稼働・マスタ口座変更ログ・正規PO紐付けのない支払/経費・休日深夜入力等の例外抽出)、(d)往査(現地検収・受入の実査と担当者ヒアリング)、(e)職務分掌(SoD)のアクセス権突合検証を組合せる。発見事項は欠陥種別(整備不備/運用不備)を明示し、リスク重要度で格付して改善提案・アクションプラン(暫定策/恒久策の二段階)・フォローアップにつなげる。</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サブプロセス</w:t>
            </w:r>
          </w:p>
        </w:tc>
        <w:tc>
          <w:tcPr>
            <w:tcW w:type="pct" w:w="5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リスク</w:t>
            </w:r>
          </w:p>
        </w:tc>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固有</w:t>
            </w:r>
          </w:p>
        </w:tc>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残余</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取引先登録・購買マスタ</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架空・実体のない仕入先がマスタに登録され、または既存仕入先の振込口座が不正に書き換えられ、架空仕入・キックバック・不正送金(BEC型口座詐取を含む)に悪用される(実在性・権利と義務)。マスタ変更権限と承認権限が同一ロールに付与され1名で完結…</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取引先登録・購買マスタ</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休眠仕入先・重複登録・退職者が管理する仕入先がマスタに残存し、データ不整合や不正取引の温床となる(網羅性・正確性)。価格マスタ・基本取引条件の陳腐化により発注価格の妥当性検証が形骸化する。新規仕入先の与信・反社チェック・契約締結が未実施のま…</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購買依頼・発注</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権限のない者による発注、または職務権限規程の決裁限度(課長100万円未満/部長1,000万円未満/役員1,000万円以上)を超える発注が承認なく実行される。発注の分割または検収後の事後発注(後追いPO)により承認権限者を意図的に回避する(実…</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購買依頼・発注</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相見積りや価格交渉が行われず特定仕入先へ恣意的に発注され、購入価格が割高となる・利益相反やキックバックが生じる(評価の妥当性)。相見積りが同日・同一様式・連番見積で形式的に整えられ実質性を欠く。前渡金が長期未精算で滞留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未着・数量不足・品質不良の物品が現品確認を伴わず書類上のみで検収済とされ、過大な買掛金・架空仕入が計上される(実在性・正確性)。検収者と発注者の職務分掌が確保されない。</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検収日と入庫・計上の期ずれにより、期末前後の仕入・買掛金がカットオフを誤って計上される(期間帰属)。期末の押し込み・先送りによる利益操作に悪用される。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請求書照合(3way match)</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発注・検収・請求書の三点が一致しないまま買掛金が計上され、数量・単価の水増し請求や二重請求を看過する(正確性・実在性)。不一致が証憑なく手動上書き(オーバーライド)で解放される。許容差異(トレランス)基準が未設定で例外解放が裁量化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請求書照合(3way match)</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検収済かつ請求書未到着の仕入(未請求債務)が計上漏れとなり、買掛金・未払金が過少計上される(網羅性・期間帰属)。</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計上された買掛金と異なる金額・口座へ支払われ、または承認のない支払・二重支払・架空仕入先への送金が実行される(実在性・正確性・権利と義務)。振込データの改ざん・パスワード共有による不正送金、BEC(ビジネスメール詐欺)型の口座詐取。</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支払サイト・支払条件が恣意的に変更され、早期支払による資金繰り悪化や特定仕入先優遇(利益相反)が生じる。値引・リベートの未反映で過大支払となる(評価の妥当性)。</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債務・残高管理</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買掛金補助元帳と総勘定元帳が一致せず、または計上誤り・二重計上・消込漏れ・借方残(過払/二重支払)・長期滞留により買掛金残高が誤表示される(正確性・網羅性・実在性)。残高の改ざんを検知できない。</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低</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債務・残高管理</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前渡金(前払)が検収・精算されず長期滞留し、回収不能・架空前払・資産過大計上となる(実在性・評価の妥当性)。</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正規フロー外取引(スポット購買・経費精算・購買カード・立替)</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正規購買フロー(購買依頼→発注承認→検収→3way match)を経由しないスポット購買・経費精算・購買カード・立替により、架空費用・私的流用・水増し請求・決裁限度の分割回避が統制の網の外で発生する(実在性・評価の妥当性)。従来の購買監査で…</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bl>
    <w:p>
      <w:pPr>
        <w:pStyle w:val="Heading2"/>
        <w:spacing w:after="90" w:before="240"/>
      </w:pPr>
      <w:r>
        <w:rPr>
          <w:rFonts w:ascii="Yu Gothic" w:cs="Yu Gothic" w:eastAsia="Yu Gothic" w:hAnsi="Yu Gothic"/>
          <w:b/>
          <w:bCs/>
        </w:rPr>
        <w:t xml:space="preserve">5. 監査項目と手続</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rPr>
          <w:tblHeader/>
        </w:trPr>
        <w:tc>
          <w:tcPr>
            <w:tcW w:type="pct" w:w="8%"/>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No</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サブプロセス</w:t>
            </w:r>
          </w:p>
        </w:tc>
        <w:tc>
          <w:tcPr>
            <w:tcW w:type="pct" w:w="3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監査要点</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技法</w:t>
            </w:r>
          </w:p>
        </w:tc>
        <w:tc>
          <w:tcPr>
            <w:tcW w:type="pct" w:w="2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母集団・サンプル</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取引先登録・購買マスタ</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購買・支払プロセス全体のフロー(取引先登録→発注→検収→3way match→支払→残高管理→正規フロー外取引)と各キーコントロールの整備状況を把握し、当年度の固有リスク×既存統制による残余リスク評価を更新する(整備状況評価)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閲覧・質問・観察</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代表取引1件を購買依頼から支払まで入口〜出口で通査（サブプロセス横断）。あわせてRCM・業務記述書・フローチャート（P102-00）を通査し、運用テストの範囲・…</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取引先登録・購買マスタ</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新規取引先の登録・与信審査が承認権限規程に従い実施され、実在・適格な相手のみがマスタ登録されている(実在性・正当性)。ICFR購買プロセスKC「取引開始時の承認」「マスタ登録時の承認」が運用されている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母集団=当期新規登録・変更マスタ全件。当期の新規登録は38件で全件検証(母集団小のため全件)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取引先登録・購買マスタ</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マスタ(支払先口座・支払条件・単価)の変更が無権限で行われず、不正な振込先への改ざんが防止されている(実在性・正当性、不正リスク対応)</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閲覧・突合・再実施・質問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母集団=当期マスタ変更ログ全件(口座変更47件含む)。うち銀行口座・支払条件・単価変更を全件レビューし、書類突合は30件抽出(口座変更は原則全件)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P-14</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購買依頼・発注</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依頼が業務上の必要性に基づき、職務権限規程(第5版)の金額区分(課長100万円未満/部長1,000万円未満/役員1,000万円以上)どおりの権限者により承認された上で発注されている(実在性・正当性)。分割発注による承認回避がない</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閲覧・突合・再実施・分析・質問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母集団=当期発注オーダー全件。金額階層別層化抽出40件+分析的手続による分割発注・決裁限度直下取引(合意レンジ)の全件スクリーニング</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P-15</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購買依頼・発注</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50万円以上の発注で相見積り・価格マスタ照合が実質的に行われ、特定仕入先への恣意的発注・割高購買・事後発注(後追いPO)・利益相反・キックバックがない(評価の妥当性・正当性)。残余リスク『高』に見合う深度で相見積りの実質性を検証す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閲覧・分析・突合・再実施・質問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母集団=相見積り対象(50万円以上)発注全件。45件を有意+無作為で抽出(残余リスク高に見合う規模)+取引先別集中度・事後発注・見積属性(同日/連番/様式)の全…</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発注した物品・役務が実際に納入された事実に基づいて検収が行われ、未納・過納・架空検収が排除されている(実在性・網羅性)。検収者と発注者の職務分掌が確保され、期末カットオフが適切である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閲覧・突合・観察・質問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母集団=当期検収登録全件。35件を無作為抽出+期末日前後10営業日の検収を期間帰属テスト用に有意抽出(全件)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P-17</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請求書照合(3way match)</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請求書が発注書・検収記録と数量・単価・金額で三者一致(3way match)した上で計上され、不一致時のオーバーライドが許容差異基準・二次承認・証憑添付という例外処理統制の下で適切に処理されている(実在性・網羅性・評価の妥当性)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再実施・突合・閲覧・分析・質問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母集団=当期買掛計上仕訳全件。40件を金額層化抽出+差異ホールド案件全件レビュー(当期不一致412件)+請求書番号重複の全件CAAT分析</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P-18</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請求書照合(3way match)</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検収済かつ請求書未到着の仕入(未請求債務)が月次決算で網羅的に抽出・計上され、買掛金・未払金の計上漏れがない(網羅性・期間帰属)</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閲覧・再実施・突合・分析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母集団=期末検収済・請求書未達分全件。見越計上一覧と期末月の翌月受領請求書20件を突合</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計上済買掛金と一致する正当な支払のみがFBで実行され、無承認支払・二重支払・架空仕入先送金・口座詐取(BEC)が防止されている(実在性・正確性・権利と義務)</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再実施・突合・分析・質問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母集団=当期FB支払全件。35件を金額層化抽出+二重支払・休眠仕入先稼働支払の全件CAAT分析+口座変更直後支払の有意抽出</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P-20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支払条件・支払サイトの変更が承認制で行われ、特定仕入先優遇・早期支払・値引/リベート未反映による過大支払がない(評価の妥当性)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分析・突合・再実施・質問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母集団=当期支払条件変更ログ全件。リベート契約先10件の支払額を再計算検証</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P-21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債務・残高管理</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買掛金補助元帳と総勘定元帳が一致し、長期滞留・借方残(過払/二重支払)・前渡金未精算が適時に把握・解消され、残高が正確に表示されている(正確性・網羅性・実在性・評価の妥当性)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再実施・突合・分析・閲覧・質問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母集団=期末買掛金/前渡金残高全件。補助簿×総勘定元帳の全件照合+年齢調べ・借方残・滞留前渡金の全件抽出+主要仕入先残高確認15件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P-22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IT全般統制</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購買・買掛・FB・WMSの自動/IT依存KCが前提とするIT全般統制(アクセス管理・変更管理)が有効に機能している(ITGCの有効性)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閲覧・突合・再実施・質問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母集団=PUR/AP/WMSの全ユーザーID・権限。退職異動者ID全件の無効化適時性+特権ID全件のレビュー</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P-23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正規フロー外取引(スポット購買・経費精算・購買カード・立替)</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購買フローを経由しないスポット購買・経費精算・購買カード・立替に、架空費用・私的流用・水増し・決裁限度の分割回避がないことを確認し、当該サブプロセスの固有リスク評価の妥当性を根拠づける(実在性・評価の妥当性・正当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分析・閲覧・突合・質問</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母集団=当期の正規PO紐付けなし支払・経費の全件。CAAT全件スクリーニング+高リスク案件30件を有意抽出して証憑突合</w:t>
            </w:r>
          </w:p>
        </w:tc>
      </w:tr>
    </w:tbl>
    <w:p>
      <w:pPr>
        <w:pStyle w:val="Heading2"/>
        <w:spacing w:after="90" w:before="240"/>
      </w:pPr>
      <w:r>
        <w:rPr>
          <w:rFonts w:ascii="Yu Gothic" w:cs="Yu Gothic" w:eastAsia="Yu Gothic" w:hAnsi="Yu Gothic"/>
          <w:b/>
          <w:bCs/>
        </w:rPr>
        <w:t xml:space="preserve">6. 監査体制</w:t>
      </w:r>
    </w:p>
    <w:p>
      <w:pPr>
        <w:spacing w:after="60"/>
      </w:pPr>
      <w:r>
        <w:rPr>
          <w:rFonts w:ascii="Yu Gothic" w:cs="Yu Gothic" w:eastAsia="Yu Gothic" w:hAnsi="Yu Gothic"/>
          <w:b w:val="false"/>
          <w:bCs w:val="false"/>
          <w:sz w:val="20"/>
          <w:szCs w:val="20"/>
        </w:rPr>
        <w:t xml:space="preserve">内部監査室長(統括・品質レビュー、CIA)、主査(現公認会計士、計画立案・リスク評価・報告書ドラフト)、監査担当2名(往査・サンプルテスト・データ分析)。独立性確保のため購買・経理の業務執行から分離。IT監査担当(購買・買掛システムのITGC/アクセス権・職務分掌設定の検証、SoDマトリクス突合)およびデータ分析担当(CAAT実行)を内部から起用。外部専門家の関与は予定なし。報告先は監査役会・取締役会、被監査部門は購買部・検収部門・経理部・情報システム部。</w:t>
      </w:r>
    </w:p>
    <w:p>
      <w:pPr>
        <w:pStyle w:val="Heading2"/>
        <w:spacing w:after="90" w:before="240"/>
      </w:pPr>
      <w:r>
        <w:rPr>
          <w:rFonts w:ascii="Yu Gothic" w:cs="Yu Gothic" w:eastAsia="Yu Gothic" w:hAnsi="Yu Gothic"/>
          <w:b/>
          <w:bCs/>
        </w:rPr>
        <w:t xml:space="preserve">7. 日程</w:t>
      </w:r>
    </w:p>
    <w:p>
      <w:pPr>
        <w:spacing w:after="60"/>
      </w:pPr>
      <w:r>
        <w:rPr>
          <w:rFonts w:ascii="Yu Gothic" w:cs="Yu Gothic" w:eastAsia="Yu Gothic" w:hAnsi="Yu Gothic"/>
          <w:b w:val="false"/>
          <w:bCs w:val="false"/>
          <w:sz w:val="20"/>
          <w:szCs w:val="20"/>
        </w:rPr>
        <w:t xml:space="preserve">正味7週間（暦では2026年1月下旬〜5月中旬）。第0段階(事前準備・1週):前年度監査結果・J-SOX評価結果・規程(版数確認)・RCM入手、リスク評価更新、決裁限度・相見積り閾値・限度直下レンジの被監査部門合意、監査計画書を室長承認。第1段階(予備調査・1週):プロセスオーナーへのヒアリング、ウォークスルー、CAAT用データ抽出依頼(正規フロー外取引データを含む)。第2段階(本調査・3週):KC運用評価サンプルテスト、3way match検証、相見積り実質性の深度テスト、マスタ・支払の不正兆候分析、SoDアクセス権突合、諏訪工場・第二工場の往査(各2日)。第3段階(評価・講評・1週):発見事項の評価・欠陥種別区分・重要度格付、被監査部門への講評(エグジットミーティング)、事実確認。第4段階(報告・1週):内部監査報告書ドラフト・室長レビュー・監査役会報告。フォローアップは暫定策(早期)→恒久策(改修リードタイム考慮)の二段階で、本報告3カ月後・6カ月後に実施状況を確認。期末日後のカットオフ・残高手続は本調査とは別に2026年4月に2日間を追加実施し、講評・報告は期末後手続の完了後に行う。</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rPr>
          <w:tblHeader/>
        </w:trPr>
        <w:tc>
          <w:tcPr>
            <w:tcW w:type="pct" w:w="3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項目</w:t>
            </w:r>
          </w:p>
        </w:tc>
        <w:tc>
          <w:tcPr>
            <w:tcW w:type="pct" w:w="6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日程</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キックオフ</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2026年2月12日（木） 10:00 本社会議室（キックオフミーティング）</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往査</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2026年2月12日〜2月27日（本調査。諏訪工場・第二工場の往査は2月24日〜27日・各2日）／2026年4月15日〜16日（期末後手続：カットオフ・残高）</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講評会</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2026年4月24日（金）（講評会・事実確認）</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報告書提出</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2026年5月15日（金）（内部監査報告書の提出）</w:t>
            </w:r>
          </w:p>
        </w:tc>
      </w:tr>
    </w:tbl>
    <w:p>
      <w:pPr>
        <w:pStyle w:val="Heading2"/>
        <w:spacing w:after="90" w:before="240"/>
      </w:pPr>
      <w:r>
        <w:rPr>
          <w:rFonts w:ascii="Yu Gothic" w:cs="Yu Gothic" w:eastAsia="Yu Gothic" w:hAnsi="Yu Gothic"/>
          <w:b/>
          <w:bCs/>
        </w:rPr>
        <w:t xml:space="preserve">8. 報告とフォローアップ</w:t>
      </w:r>
    </w:p>
    <w:p>
      <w:pPr>
        <w:spacing w:after="60"/>
      </w:pPr>
      <w:r>
        <w:rPr>
          <w:rFonts w:ascii="Yu Gothic" w:cs="Yu Gothic" w:eastAsia="Yu Gothic" w:hAnsi="Yu Gothic"/>
          <w:b w:val="false"/>
          <w:bCs w:val="false"/>
          <w:sz w:val="20"/>
          <w:szCs w:val="20"/>
        </w:rPr>
        <w:t xml:space="preserve">改善状況は暫定策（早期に運用で止血）と恒久策（システム改修・リードタイムを考慮）の二段階で管理し、本報告の3か月後（2026年8月）と6か月後（2026年11月）にフォローアップ監査を実施して監査役会へ報告する。恒久策の期限が2026年12月末の指摘（PUR-F-01・F-03）は、2027年1〜2月に第3回フォローアップで完了を確認する。期限超過の指摘は監査役会へ報告し、改善責任者が期限延長を要する場合は理由と新期限を内部監査室長へ書面で申請する。</w:t>
      </w:r>
    </w:p>
    <w:p>
      <w:r>
        <w:br w:type="page"/>
      </w:r>
    </w:p>
    <w:p>
      <w:pPr>
        <w:spacing w:after="20"/>
        <w:jc w:val="right"/>
      </w:pPr>
      <w:r>
        <w:rPr>
          <w:rFonts w:ascii="Yu Gothic" w:cs="Yu Gothic" w:eastAsia="Yu Gothic" w:hAnsi="Yu Gothic"/>
          <w:b w:val="false"/>
          <w:bCs w:val="false"/>
          <w:sz w:val="18"/>
          <w:szCs w:val="18"/>
        </w:rPr>
        <w:t xml:space="preserve">文書番号　内監発第2025-012号</w:t>
      </w:r>
    </w:p>
    <w:p>
      <w:pPr>
        <w:spacing w:after="80"/>
        <w:jc w:val="right"/>
      </w:pPr>
      <w:r>
        <w:rPr>
          <w:rFonts w:ascii="Yu Gothic" w:cs="Yu Gothic" w:eastAsia="Yu Gothic" w:hAnsi="Yu Gothic"/>
          <w:b w:val="false"/>
          <w:bCs w:val="false"/>
          <w:sz w:val="18"/>
          <w:szCs w:val="18"/>
        </w:rPr>
        <w:t xml:space="preserve">日付　2026年1月26日（月）</w:t>
      </w:r>
    </w:p>
    <w:p>
      <w:pPr>
        <w:spacing w:after="120"/>
        <w:jc w:val="center"/>
      </w:pPr>
      <w:r>
        <w:rPr>
          <w:rFonts w:ascii="Yu Gothic" w:cs="Yu Gothic" w:eastAsia="Yu Gothic" w:hAnsi="Yu Gothic"/>
          <w:b/>
          <w:bCs/>
          <w:sz w:val="34"/>
          <w:szCs w:val="34"/>
        </w:rPr>
        <w:t xml:space="preserve">内部監査実施通知書</w:t>
      </w:r>
    </w:p>
    <w:p>
      <w:pPr>
        <w:spacing w:after="20"/>
      </w:pPr>
      <w:r>
        <w:rPr>
          <w:rFonts w:ascii="Yu Gothic" w:cs="Yu Gothic" w:eastAsia="Yu Gothic" w:hAnsi="Yu Gothic"/>
          <w:b w:val="false"/>
          <w:bCs w:val="false"/>
          <w:sz w:val="20"/>
          <w:szCs w:val="20"/>
        </w:rPr>
        <w:t xml:space="preserve">購買部長　殿</w:t>
      </w:r>
    </w:p>
    <w:p>
      <w:pPr>
        <w:spacing w:after="20"/>
      </w:pPr>
      <w:r>
        <w:rPr>
          <w:rFonts w:ascii="Yu Gothic" w:cs="Yu Gothic" w:eastAsia="Yu Gothic" w:hAnsi="Yu Gothic"/>
          <w:b w:val="false"/>
          <w:bCs w:val="false"/>
          <w:sz w:val="20"/>
          <w:szCs w:val="20"/>
        </w:rPr>
        <w:t xml:space="preserve">検収部門責任者（諏訪工場・第二工場）　殿</w:t>
      </w:r>
    </w:p>
    <w:p>
      <w:pPr>
        <w:spacing w:after="20"/>
      </w:pPr>
      <w:r>
        <w:rPr>
          <w:rFonts w:ascii="Yu Gothic" w:cs="Yu Gothic" w:eastAsia="Yu Gothic" w:hAnsi="Yu Gothic"/>
          <w:b w:val="false"/>
          <w:bCs w:val="false"/>
          <w:sz w:val="20"/>
          <w:szCs w:val="20"/>
        </w:rPr>
        <w:t xml:space="preserve">経理部長　殿</w:t>
      </w:r>
    </w:p>
    <w:p>
      <w:pPr>
        <w:spacing w:after="20"/>
      </w:pPr>
      <w:r>
        <w:rPr>
          <w:rFonts w:ascii="Yu Gothic" w:cs="Yu Gothic" w:eastAsia="Yu Gothic" w:hAnsi="Yu Gothic"/>
          <w:b w:val="false"/>
          <w:bCs w:val="false"/>
          <w:sz w:val="20"/>
          <w:szCs w:val="20"/>
        </w:rPr>
        <w:t xml:space="preserve">情報システム部長　殿</w:t>
      </w:r>
    </w:p>
    <w:p>
      <w:pPr>
        <w:spacing w:after="120"/>
        <w:jc w:val="right"/>
      </w:pPr>
      <w:r>
        <w:rPr>
          <w:rFonts w:ascii="Yu Gothic" w:cs="Yu Gothic" w:eastAsia="Yu Gothic" w:hAnsi="Yu Gothic"/>
          <w:b/>
          <w:bCs/>
          <w:sz w:val="20"/>
          <w:szCs w:val="20"/>
        </w:rPr>
        <w:t xml:space="preserve">内部監査室長 田中</w:t>
      </w:r>
    </w:p>
    <w:p>
      <w:pPr>
        <w:spacing w:after="60"/>
      </w:pPr>
      <w:r>
        <w:rPr>
          <w:rFonts w:ascii="Yu Gothic" w:cs="Yu Gothic" w:eastAsia="Yu Gothic" w:hAnsi="Yu Gothic"/>
          <w:b w:val="false"/>
          <w:bCs w:val="false"/>
          <w:sz w:val="20"/>
          <w:szCs w:val="20"/>
        </w:rPr>
        <w:t xml:space="preserve">内部監査規程 第12条に基づき、下記のとおり内部監査を実施いたしますので、ご協力をお願いいたします。</w:t>
      </w:r>
    </w:p>
    <w:p>
      <w:pPr>
        <w:spacing w:after="100" w:before="100"/>
        <w:jc w:val="center"/>
      </w:pPr>
      <w:r>
        <w:rPr>
          <w:rFonts w:ascii="Yu Gothic" w:cs="Yu Gothic" w:eastAsia="Yu Gothic" w:hAnsi="Yu Gothic"/>
          <w:b/>
          <w:bCs/>
          <w:sz w:val="24"/>
          <w:szCs w:val="24"/>
        </w:rPr>
        <w:t xml:space="preserve">記</w:t>
      </w:r>
    </w:p>
    <w:p>
      <w:pPr>
        <w:pStyle w:val="Heading3"/>
        <w:spacing w:after="90" w:before="240"/>
      </w:pPr>
      <w:r>
        <w:rPr>
          <w:rFonts w:ascii="Yu Gothic" w:cs="Yu Gothic" w:eastAsia="Yu Gothic" w:hAnsi="Yu Gothic"/>
          <w:b/>
          <w:bCs/>
        </w:rPr>
        <w:t xml:space="preserve">1　監査対象</w:t>
      </w:r>
    </w:p>
    <w:p>
      <w:pPr>
        <w:spacing w:after="60"/>
      </w:pPr>
      <w:r>
        <w:rPr>
          <w:rFonts w:ascii="Yu Gothic" w:cs="Yu Gothic" w:eastAsia="Yu Gothic" w:hAnsi="Yu Gothic"/>
          <w:b w:val="false"/>
          <w:bCs w:val="false"/>
          <w:sz w:val="20"/>
          <w:szCs w:val="20"/>
        </w:rPr>
        <w:t xml:space="preserve">購買・支払プロセスの内部監査／被監査部門: 購買部長、検収部門責任者（諏訪工場・第二工場）、経理部長、情報システム部長</w:t>
      </w:r>
    </w:p>
    <w:p>
      <w:pPr>
        <w:pStyle w:val="Heading3"/>
        <w:spacing w:after="90" w:before="240"/>
      </w:pPr>
      <w:r>
        <w:rPr>
          <w:rFonts w:ascii="Yu Gothic" w:cs="Yu Gothic" w:eastAsia="Yu Gothic" w:hAnsi="Yu Gothic"/>
          <w:b/>
          <w:bCs/>
        </w:rPr>
        <w:t xml:space="preserve">2　監査実施期間</w:t>
      </w:r>
    </w:p>
    <w:p>
      <w:pPr>
        <w:spacing w:after="60"/>
      </w:pPr>
      <w:r>
        <w:rPr>
          <w:rFonts w:ascii="Yu Gothic" w:cs="Yu Gothic" w:eastAsia="Yu Gothic" w:hAnsi="Yu Gothic"/>
          <w:b w:val="false"/>
          <w:bCs w:val="false"/>
          <w:sz w:val="20"/>
          <w:szCs w:val="20"/>
        </w:rPr>
        <w:t xml:space="preserve">2026年2月12日〜2月27日（本調査。諏訪工場・第二工場の往査は2月24日〜27日・各2日）／2026年4月15日〜16日（期末後手続：カットオフ・残高）</w:t>
      </w:r>
    </w:p>
    <w:p>
      <w:pPr>
        <w:pStyle w:val="Heading3"/>
        <w:spacing w:after="90" w:before="240"/>
      </w:pPr>
      <w:r>
        <w:rPr>
          <w:rFonts w:ascii="Yu Gothic" w:cs="Yu Gothic" w:eastAsia="Yu Gothic" w:hAnsi="Yu Gothic"/>
          <w:b/>
          <w:bCs/>
        </w:rPr>
        <w:t xml:space="preserve">3　監査担当者</w:t>
      </w:r>
    </w:p>
    <w:p>
      <w:pPr>
        <w:spacing w:after="60"/>
      </w:pPr>
      <w:r>
        <w:rPr>
          <w:rFonts w:ascii="Yu Gothic" w:cs="Yu Gothic" w:eastAsia="Yu Gothic" w:hAnsi="Yu Gothic"/>
          <w:b w:val="false"/>
          <w:bCs w:val="false"/>
          <w:sz w:val="20"/>
          <w:szCs w:val="20"/>
        </w:rPr>
        <w:t xml:space="preserve">内部監査室長(統括・品質レビュー、CIA)、主査(現公認会計士、計画立案・リスク評価・報告書ドラフト)、監査担当2名(往査・サンプルテスト・データ分析)</w:t>
      </w:r>
    </w:p>
    <w:p>
      <w:pPr>
        <w:pStyle w:val="Heading3"/>
        <w:spacing w:after="90" w:before="240"/>
      </w:pPr>
      <w:r>
        <w:rPr>
          <w:rFonts w:ascii="Yu Gothic" w:cs="Yu Gothic" w:eastAsia="Yu Gothic" w:hAnsi="Yu Gothic"/>
          <w:b/>
          <w:bCs/>
        </w:rPr>
        <w:t xml:space="preserve">4　監査目的</w:t>
      </w:r>
    </w:p>
    <w:p>
      <w:pPr>
        <w:spacing w:after="60"/>
      </w:pPr>
      <w:r>
        <w:rPr>
          <w:rFonts w:ascii="Yu Gothic" w:cs="Yu Gothic" w:eastAsia="Yu Gothic" w:hAnsi="Yu Gothic"/>
          <w:b w:val="false"/>
          <w:bCs w:val="false"/>
          <w:sz w:val="20"/>
          <w:szCs w:val="20"/>
        </w:rPr>
        <w:t xml:space="preserve">サンプル製造株式会社の購買・支払プロセス(取引先登録・購買マスタ／購買依頼・発注／検収／請求書照合(3way match)／支払／債務・残高管理／正規フロー外取引)を対象に、(1)購買取引の正確性・網羅性・実在性・期間帰属を担保する内部統制の整備状況と運用状況の有効性を、整備不備と運用不備を明確に区分して評価し、(2)架空仕入・キックバック・水増し請求・不正口座振込(BEC型口座詐取を含む)・私的…</w:t>
      </w:r>
    </w:p>
    <w:p>
      <w:pPr>
        <w:pStyle w:val="Heading3"/>
        <w:spacing w:after="90" w:before="240"/>
      </w:pPr>
      <w:r>
        <w:rPr>
          <w:rFonts w:ascii="Yu Gothic" w:cs="Yu Gothic" w:eastAsia="Yu Gothic" w:hAnsi="Yu Gothic"/>
          <w:b/>
          <w:bCs/>
        </w:rPr>
        <w:t xml:space="preserve">5　監査項目</w:t>
      </w:r>
    </w:p>
    <w:p>
      <w:pPr>
        <w:spacing w:after="60"/>
      </w:pPr>
      <w:r>
        <w:rPr>
          <w:rFonts w:ascii="Yu Gothic" w:cs="Yu Gothic" w:eastAsia="Yu Gothic" w:hAnsi="Yu Gothic"/>
          <w:b w:val="false"/>
          <w:bCs w:val="false"/>
          <w:sz w:val="20"/>
          <w:szCs w:val="20"/>
        </w:rPr>
        <w:t xml:space="preserve">取引先登録・購買マスタ、購買依頼・発注、検収、請求書照合(3way match)、支払、債務・残高管理、IT全般統制、正規フロー外取引(スポット購買・経費精算・購買カード・立替)</w:t>
      </w:r>
    </w:p>
    <w:p>
      <w:pPr>
        <w:pStyle w:val="Heading3"/>
        <w:spacing w:after="90" w:before="240"/>
      </w:pPr>
      <w:r>
        <w:rPr>
          <w:rFonts w:ascii="Yu Gothic" w:cs="Yu Gothic" w:eastAsia="Yu Gothic" w:hAnsi="Yu Gothic"/>
          <w:b/>
          <w:bCs/>
        </w:rPr>
        <w:t xml:space="preserve">6　依頼事項</w:t>
      </w:r>
    </w:p>
    <w:p>
      <w:pPr>
        <w:spacing w:after="60"/>
      </w:pPr>
      <w:r>
        <w:rPr>
          <w:rFonts w:ascii="Yu Gothic" w:cs="Yu Gothic" w:eastAsia="Yu Gothic" w:hAnsi="Yu Gothic"/>
          <w:b w:val="false"/>
          <w:bCs w:val="false"/>
          <w:sz w:val="20"/>
          <w:szCs w:val="20"/>
        </w:rPr>
        <w:t xml:space="preserve">添付の依頼資料リストの資料を 2026年2月6日（金） までにご提出ください</w:t>
      </w:r>
    </w:p>
    <w:p>
      <w:pPr>
        <w:spacing w:after="60"/>
      </w:pPr>
      <w:r>
        <w:rPr>
          <w:rFonts w:ascii="Yu Gothic" w:cs="Yu Gothic" w:eastAsia="Yu Gothic" w:hAnsi="Yu Gothic"/>
          <w:b w:val="false"/>
          <w:bCs w:val="false"/>
          <w:sz w:val="20"/>
          <w:szCs w:val="20"/>
        </w:rPr>
        <w:t xml:space="preserve">データ抽出（CAAT用）へのご協力</w:t>
      </w:r>
    </w:p>
    <w:p>
      <w:pPr>
        <w:spacing w:after="60"/>
      </w:pPr>
      <w:r>
        <w:rPr>
          <w:rFonts w:ascii="Yu Gothic" w:cs="Yu Gothic" w:eastAsia="Yu Gothic" w:hAnsi="Yu Gothic"/>
          <w:b w:val="false"/>
          <w:bCs w:val="false"/>
          <w:sz w:val="20"/>
          <w:szCs w:val="20"/>
        </w:rPr>
        <w:t xml:space="preserve">ヒアリング・往査日程の調整（キックオフ 2026年2月12日（木） 10:00 本社会議室（キックオフミーティング））</w:t>
      </w:r>
    </w:p>
    <w:p>
      <w:pPr>
        <w:spacing w:after="60"/>
      </w:pPr>
      <w:r>
        <w:rPr>
          <w:rFonts w:ascii="Yu Gothic" w:cs="Yu Gothic" w:eastAsia="Yu Gothic" w:hAnsi="Yu Gothic"/>
          <w:b w:val="false"/>
          <w:bCs w:val="false"/>
          <w:sz w:val="20"/>
          <w:szCs w:val="20"/>
        </w:rPr>
        <w:t xml:space="preserve">窓口: 内部監査室 主査（内線2410）</w:t>
      </w:r>
    </w:p>
    <w:p>
      <w:pPr>
        <w:spacing w:after="60" w:before="100"/>
        <w:jc w:val="right"/>
      </w:pPr>
      <w:r>
        <w:rPr>
          <w:rFonts w:ascii="Yu Gothic" w:cs="Yu Gothic" w:eastAsia="Yu Gothic" w:hAnsi="Yu Gothic"/>
          <w:b/>
          <w:bCs/>
          <w:sz w:val="20"/>
          <w:szCs w:val="20"/>
        </w:rPr>
        <w:t xml:space="preserve">以上</w:t>
      </w:r>
    </w:p>
    <w:p>
      <w:r>
        <w:br w:type="page"/>
      </w:r>
    </w:p>
    <w:p>
      <w:pPr>
        <w:spacing w:after="50" w:before="240"/>
        <w:jc w:val="center"/>
      </w:pPr>
      <w:r>
        <w:rPr>
          <w:rFonts w:ascii="Yu Gothic" w:cs="Yu Gothic" w:eastAsia="Yu Gothic" w:hAnsi="Yu Gothic"/>
          <w:b/>
          <w:bCs/>
          <w:sz w:val="34"/>
          <w:szCs w:val="34"/>
        </w:rPr>
        <w:t xml:space="preserve">依頼資料リスト（添付）</w:t>
      </w:r>
    </w:p>
    <w:p>
      <w:pPr>
        <w:spacing w:after="20"/>
        <w:jc w:val="center"/>
      </w:pPr>
      <w:r>
        <w:rPr>
          <w:rFonts w:ascii="Yu Gothic" w:cs="Yu Gothic" w:eastAsia="Yu Gothic" w:hAnsi="Yu Gothic"/>
          <w:b w:val="false"/>
          <w:bCs w:val="false"/>
          <w:sz w:val="22"/>
          <w:szCs w:val="22"/>
        </w:rPr>
        <w:t xml:space="preserve">サンプル製造株式会社 内部監査室</w:t>
      </w:r>
    </w:p>
    <w:p>
      <w:pPr>
        <w:spacing w:after="160"/>
        <w:jc w:val="center"/>
      </w:pPr>
      <w:r>
        <w:rPr>
          <w:rFonts w:ascii="Yu Gothic" w:cs="Yu Gothic" w:eastAsia="Yu Gothic" w:hAnsi="Yu Gothic"/>
          <w:b w:val="false"/>
          <w:bCs w:val="false"/>
          <w:color w:val="8A8170"/>
          <w:sz w:val="18"/>
          <w:szCs w:val="18"/>
        </w:rPr>
        <w:t xml:space="preserve">購買・支払プロセスの内部監査</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gridCol w:w="100"/>
      </w:tblGrid>
      <w:tr>
        <w:trPr>
          <w:tblHeader/>
        </w:trPr>
        <w:tc>
          <w:tcPr>
            <w:tcW w:type="pct" w:w="7%"/>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No</w:t>
            </w:r>
          </w:p>
        </w:tc>
        <w:tc>
          <w:tcPr>
            <w:tcW w:type="pct" w:w="16%"/>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区分</w:t>
            </w:r>
          </w:p>
        </w:tc>
        <w:tc>
          <w:tcPr>
            <w:tcW w:type="pct" w:w="29%"/>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資料名</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所管</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期限</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目的・関連手続</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R-01</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規程・組織</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購買管理規程（第7版）・職務権限規程（第5版）・支払業務規程（第4版）・マスタ管理規程（第2版）・職務分掌規程（第6版）・与信取引先管理規程（第3版）の最新版と改訂履歴</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経理部・総務部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監査基準の確定（P-11）</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R-02</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規程・組織</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購買部・検収部門・経理部・情報システム部の組織図、業務分担表、決裁権限者一覧（2025年4月以降の異動を含む）</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各部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職務分掌（SoD）の検証（P-22）</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R-03</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J-SOX文書</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購買プロセス（P102-00）の業務記述書・業務フローチャート・RCM（最新承認版）と2025年3月期の整備・運用評価結果</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内部統制PJ</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ウォークスルー（P-11）</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R-04</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当期の発注データ全件（発注番号・発注日・仕入先・品目・金額・承認者・承認日）と分割発注警告ログ</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発注承認・分割発注のCAAT（P-14）</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R-05</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仕入先マスタ全件と当期の変更ログ（新規登録・口座変更・支払条件変更。変更者・承認者・変更経路）</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取引先登録・口座変更（P-12・P-13・P-20）</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R-06</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当期の検収データ（検収日・入庫日・数量・検収者）と期末日前後10営業日の入庫実績</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検収部門・生産管理部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2026-02-06（期末分は2026-04-15）</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検収の実在性・カットオフ（P-16）</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R-07</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当期の買掛計上仕訳と3way match差異ホールド一覧（解放者・解放理由・添付証憑の有無）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3way matchと例外解放（P-17）</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R-08</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当期のFB支払データ全件（支払日・仕入先・金額・振込口座・承認者）とFB送信の別者承認記録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支払の正当性・二重支払のCAAT（P-19）</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R-09</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正規発注番号に紐付かない支払・経費（スポット購買・経費精算・購買カード・立替）の全件</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正規フロー外取引のスクリーニング（P-23）</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R-10</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取引データ</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リベート契約一覧（10社）・契約書・当期支払額の計算根拠</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リベート反映の再計算（P-20）</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R-11</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証憑</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相見積り対象発注（50万円以上）の見積書・比較表・発注理由書（内部監査室が抽出する45件。抽出リストは2月13日に提示）</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提示後5営業日</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相見積りの実質性（P-15）</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R-12</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証憑</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当期の新規取引先登録38件の与信審査・反社チェック記録・基本取引契約書</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購買部・法務コンプライアンス担当</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新規取引先登録（P-12）</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R-13</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証憑</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仕入先口座変更47件の変更依頼書・口座確認資料・コールバック記録・承認記録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口座変更の承認テスト（P-13）</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R-14</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システム・権限</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購買管理・買掛金管理・検収/入庫管理・FBのユーザーID／権限一覧、特権ID一覧、退職・異動者の権限削除記録、変更管理台帳（当期）</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ITGC・SoD突合（P-22）</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R-15</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システム・権限</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3way matchの許容差異（トレランス）設定値と設定変更履歴、承認ワークフローの金額区分設定</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情報システム部・経理部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承認ルート・自動照合の前提（P-14・P-17）</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R-16</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期末後手続</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期末の買掛金・前渡金残高明細、年齢調べ、補助元帳と総勘定元帳の照合表、未請求債務の見越計上一覧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2026-04-10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未請求債務・残高（P-18・P-21）</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R-17</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その他</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前回内部監査（2024年2月）指摘事項の是正報告書と完了証跡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購買部・経理部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前回指摘のフォローアップ</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R-18</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その他</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当期の内部通報・取引先からの苦情のうち購買・支払に関するもの</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法務コンプライアンス担当</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リスク評価の更新</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color w:val="999999"/>
        <w:sz w:val="14"/>
        <w:szCs w:val="14"/>
      </w:rPr>
      <w:t xml:space="preserve">サンプル製造株式会社 内部監査室　個別監査計画書　—　</w:t>
    </w:r>
    <w:r>
      <w:rPr>
        <w:rFonts w:ascii="Yu Gothic" w:cs="Yu Gothic" w:eastAsia="Yu Gothic" w:hAnsi="Yu Gothic"/>
        <w:color w:val="99999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2026-09-19T04:31:07.777Z</dcterms:created>
  <dcterms:modified xsi:type="dcterms:W3CDTF">2026-09-19T04:31:07.777Z</dcterms:modified>
</cp:coreProperties>
</file>

<file path=docProps/custom.xml><?xml version="1.0" encoding="utf-8"?>
<Properties xmlns="http://schemas.openxmlformats.org/officeDocument/2006/custom-properties" xmlns:vt="http://schemas.openxmlformats.org/officeDocument/2006/docPropsVTypes"/>
</file>