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pPr>
      <w:r>
        <w:rPr>
          <w:rFonts w:ascii="Yu Gothic" w:cs="Yu Gothic" w:eastAsia="Yu Gothic" w:hAnsi="Yu Gothic"/>
          <w:b/>
          <w:bCs/>
        </w:rPr>
        <w:t xml:space="preserve">サンプル・ものづくり株式会社　補助金・助成金 申請支援パッケージ</w:t>
      </w:r>
    </w:p>
    <w:p>
      <w:pPr>
        <w:spacing w:after="60"/>
      </w:pPr>
      <w:r>
        <w:rPr>
          <w:rFonts w:ascii="Yu Gothic" w:cs="Yu Gothic" w:eastAsia="Yu Gothic" w:hAnsi="Yu Gothic"/>
          <w:b w:val="false"/>
          <w:bCs w:val="false"/>
          <w:sz w:val="20"/>
          <w:szCs w:val="20"/>
        </w:rPr>
        <w:t xml:space="preserve">目的：製造業の経営課題である『賃上げ』と『生産性向上』を補助金・助成金を活用して同時達成。従業員40名規模のものづくり企業が、設備投資を通じた自動化・省力化、スキル向上を実現し、事業場内最低賃金+30円以上の引き上げと付加価値額年率3%以上の達成を目指す。</w:t>
      </w:r>
    </w:p>
    <w:p>
      <w:pPr>
        <w:spacing w:after="60"/>
      </w:pPr>
      <w:r>
        <w:rPr>
          <w:rFonts w:ascii="Yu Gothic" w:cs="Yu Gothic" w:eastAsia="Yu Gothic" w:hAnsi="Yu Gothic"/>
          <w:b w:val="false"/>
          <w:bCs w:val="false"/>
          <w:sz w:val="18"/>
          <w:szCs w:val="18"/>
        </w:rPr>
        <w:t xml:space="preserve">対象範囲：（1）ものづくり補助金（省力化投資枠など）を主軸に最大1,300万円の補助金取得。（2）小規模事業者持続化補助金・IT導入補助金などの併用で販路拡大。（3）キャリアアップ助成金・人材開発支援助成金で人材育成。（4）業務改善助成金による生産性向上。計画期間：申請準備3ヶ月→公募・申請2ヶ月→交付決定・事業実施12-18ヶ月→実績報告→精算。　／　進め方：書籍根拠に基づく段階的申請フロー：①補助対象経費の適格性判断→②事業計画書の策定→③認定支援機関による確認書作成→④GビズID登録→⑤申請書作成・提出→⑥採択後の事業実施→⑦実績報告・精算。加点要件（賃上げ表明書・経営革新計画等）も戦略的に組み込み。</w:t>
      </w:r>
    </w:p>
    <w:p>
      <w:pPr>
        <w:spacing w:after="60"/>
      </w:pPr>
      <w:r>
        <w:rPr>
          <w:rFonts w:ascii="Yu Gothic" w:cs="Yu Gothic" w:eastAsia="Yu Gothic" w:hAnsi="Yu Gothic"/>
          <w:b w:val="false"/>
          <w:bCs w:val="false"/>
          <w:color w:val="8A8170"/>
          <w:sz w:val="18"/>
          <w:szCs w:val="18"/>
        </w:rPr>
        <w:t xml:space="preserve">留意：補助金は『後払い制』で交付決定後の事業実施が必須。交付前の投資は自己資金で対応。5年間の財産処分制限と補助金返納リスクを経営層に周知。</w:t>
      </w:r>
    </w:p>
    <w:p>
      <w:pPr>
        <w:pStyle w:val="Heading2"/>
        <w:spacing w:after="80" w:before="220"/>
      </w:pPr>
      <w:r>
        <w:rPr>
          <w:rFonts w:ascii="Yu Gothic" w:cs="Yu Gothic" w:eastAsia="Yu Gothic" w:hAnsi="Yu Gothic"/>
          <w:b/>
          <w:bCs/>
        </w:rPr>
        <w:t xml:space="preserve">第1部　事業計画書ドラフト（重点案件：ものづくり補助金（省力化投資枠・通常型一般型））</w:t>
      </w:r>
    </w:p>
    <w:p>
      <w:pPr>
        <w:spacing w:after="60"/>
      </w:pPr>
      <w:r>
        <w:rPr>
          <w:rFonts w:ascii="Yu Gothic" w:cs="Yu Gothic" w:eastAsia="Yu Gothic" w:hAnsi="Yu Gothic"/>
          <w:b/>
          <w:bCs/>
          <w:sz w:val="20"/>
          <w:szCs w:val="20"/>
        </w:rPr>
        <w:t xml:space="preserve">自動化・省力化による生産効率化と人材育成を通じた賃上げ実現事業計画</w:t>
      </w:r>
    </w:p>
    <w:p>
      <w:pPr>
        <w:spacing w:after="60"/>
      </w:pPr>
      <w:r>
        <w:rPr>
          <w:rFonts w:ascii="Yu Gothic" w:cs="Yu Gothic" w:eastAsia="Yu Gothic" w:hAnsi="Yu Gothic"/>
          <w:b w:val="false"/>
          <w:bCs w:val="false"/>
          <w:color w:val="8A8170"/>
          <w:sz w:val="16"/>
          <w:szCs w:val="16"/>
        </w:rPr>
        <w:t xml:space="preserve">※ 実際の申請様式・章立て・字数制限は制度・公募回ごとに異なります。本ドラフトを土台に、必ず最新の公募要領・記載要領に合わせて再構成してください。</w:t>
      </w:r>
    </w:p>
    <w:p>
      <w:pPr>
        <w:pStyle w:val="Heading3"/>
        <w:spacing w:after="60" w:before="180"/>
      </w:pPr>
      <w:r>
        <w:rPr>
          <w:rFonts w:ascii="Yu Gothic" w:cs="Yu Gothic" w:eastAsia="Yu Gothic" w:hAnsi="Yu Gothic"/>
          <w:b/>
          <w:bCs/>
        </w:rPr>
        <w:t xml:space="preserve">① 事業概要（会社概要・沿革・強み）</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項目</w:t>
            </w:r>
          </w:p>
        </w:tc>
        <w:tc>
          <w:tcPr>
            <w:tcW w:type="pct" w:w="7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内容</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会社名</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サンプル・ものづくり株式会社</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所在地・設立・代表者</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（記入）</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資本金・従業員数</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（記入：中小企業者等の要件確認に使用）</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事業内容</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（記入：主要製品・サービス、主要取引先）</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沿革・実績</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（記入：受賞歴・認証取得・技術実績など信頼性を示す事実）</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自社の強み</w:t>
            </w:r>
          </w:p>
        </w:tc>
        <w:tc>
          <w:tcPr>
            <w:tcW w:type="pct" w:w="76%"/>
            <w:tcMar>
              <w:top w:type="dxa" w:w="30"/>
              <w:left w:type="dxa" w:w="60"/>
              <w:bottom w:type="dxa" w:w="30"/>
              <w:right w:type="dxa" w:w="60"/>
            </w:tcMar>
          </w:tcPr>
          <w:p>
            <w:r>
              <w:rPr>
                <w:rFonts w:ascii="Yu Gothic" w:cs="Yu Gothic" w:eastAsia="Yu Gothic" w:hAnsi="Yu Gothic"/>
                <w:b w:val="false"/>
                <w:bCs w:val="false"/>
                <w:sz w:val="14"/>
                <w:szCs w:val="14"/>
              </w:rPr>
              <w:t xml:space="preserve">（記入：技術・人材・顧客基盤など。③の実施体制・実現可能性の裏付けになるものを）</w:t>
            </w:r>
          </w:p>
        </w:tc>
      </w:tr>
    </w:tbl>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・冒頭で、制度の政策目的（生産性向上・賃上げ・DX/GXなど）と自社の取組の合致を一文で明示する。審査は「政策目的に沿う事業か」から始まる。</w:t>
            </w:r>
          </w:p>
          <w:p>
            <w:pPr>
              <w:spacing w:after="30"/>
            </w:pPr>
            <w:r>
              <w:rPr>
                <w:rFonts w:ascii="Yu Gothic" w:cs="Yu Gothic" w:eastAsia="Yu Gothic" w:hAnsi="Yu Gothic"/>
                <w:color w:val="4A4436"/>
                <w:sz w:val="16"/>
                <w:szCs w:val="16"/>
              </w:rPr>
              <w:t xml:space="preserve">・強みは自慢話ではなく、③の取組を「この会社ならやり切れる」と示す実現可能性の根拠として書く。</w:t>
            </w:r>
          </w:p>
        </w:tc>
      </w:tr>
    </w:tbl>
    <w:p>
      <w:pPr>
        <w:pStyle w:val="Heading3"/>
        <w:spacing w:after="60" w:before="180"/>
      </w:pPr>
      <w:r>
        <w:rPr>
          <w:rFonts w:ascii="Yu Gothic" w:cs="Yu Gothic" w:eastAsia="Yu Gothic" w:hAnsi="Yu Gothic"/>
          <w:b/>
          <w:bCs/>
        </w:rPr>
        <w:t xml:space="preserve">② 現状の課題と背景（数値根拠）</w:t>
      </w:r>
    </w:p>
    <w:p>
      <w:pPr>
        <w:spacing w:after="60"/>
      </w:pPr>
      <w:r>
        <w:rPr>
          <w:rFonts w:ascii="Yu Gothic" w:cs="Yu Gothic" w:eastAsia="Yu Gothic" w:hAnsi="Yu Gothic"/>
          <w:b w:val="false"/>
          <w:bCs w:val="false"/>
          <w:sz w:val="20"/>
          <w:szCs w:val="20"/>
        </w:rPr>
        <w:t xml:space="preserve">人手不足と労働集約的な生産プロセスにより、従業員の時間外勤務が月平均80-100時間。既存設備の老朽化により、生産効率が業界平均比15-20%低い。付加価値額は年率平均1.2%の低成長。従業員給与は業界平均を下回り。</w:t>
      </w:r>
    </w:p>
    <w:p>
      <w:pPr>
        <w:spacing w:after="60"/>
      </w:pPr>
      <w:r>
        <w:rPr>
          <w:rFonts w:ascii="Yu Gothic" w:cs="Yu Gothic" w:eastAsia="Yu Gothic" w:hAnsi="Yu Gothic"/>
          <w:b/>
          <w:bCs/>
          <w:sz w:val="18"/>
          <w:szCs w:val="18"/>
        </w:rPr>
        <w:t xml:space="preserve">課題の数値根拠（定量で裏付ける）</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c>
          <w:tcPr>
            <w:tcW w:type="pct" w:w="3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指標</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現状値</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出所・根拠資料</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（例）月間残業時間・不良率・生産リードタイム 等</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（記入）</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（記入：勤怠記録・原価資料・生産日報 等）</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（例）付加価値額・労働生産性の推移</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（記入）</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（記入：決算書より算定）</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
            </w:r>
          </w:p>
        </w:tc>
      </w:tr>
    </w:tbl>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・課題→解決策→効果の因果を、数値で一本の線としてつなぐ。②で示した課題の数値が、④の効果の数値に対応していること。</w:t>
            </w:r>
          </w:p>
          <w:p>
            <w:pPr>
              <w:spacing w:after="30"/>
            </w:pPr>
            <w:r>
              <w:rPr>
                <w:rFonts w:ascii="Yu Gothic" w:cs="Yu Gothic" w:eastAsia="Yu Gothic" w:hAnsi="Yu Gothic"/>
                <w:color w:val="4A4436"/>
                <w:sz w:val="16"/>
                <w:szCs w:val="16"/>
              </w:rPr>
              <w:t xml:space="preserve">・「人手不足」「競争激化」等の一般論で終わらせず、自社固有のデータ（決算書・勤怠・生産記録）で示す。</w:t>
            </w:r>
          </w:p>
        </w:tc>
      </w:tr>
    </w:tbl>
    <w:p>
      <w:pPr>
        <w:pStyle w:val="Heading3"/>
        <w:spacing w:after="60" w:before="180"/>
      </w:pPr>
      <w:r>
        <w:rPr>
          <w:rFonts w:ascii="Yu Gothic" w:cs="Yu Gothic" w:eastAsia="Yu Gothic" w:hAnsi="Yu Gothic"/>
          <w:b/>
          <w:bCs/>
        </w:rPr>
        <w:t xml:space="preserve">③ 補助事業の内容（取組・導入設備／システム・実施体制・スケジュール）</w:t>
      </w:r>
    </w:p>
    <w:p>
      <w:pPr>
        <w:spacing w:after="60"/>
      </w:pPr>
      <w:r>
        <w:rPr>
          <w:rFonts w:ascii="Yu Gothic" w:cs="Yu Gothic" w:eastAsia="Yu Gothic" w:hAnsi="Yu Gothic"/>
          <w:b/>
          <w:bCs/>
          <w:sz w:val="18"/>
          <w:szCs w:val="18"/>
        </w:rPr>
        <w:t xml:space="preserve">取組内容</w:t>
      </w:r>
    </w:p>
    <w:p>
      <w:pPr>
        <w:spacing w:after="60"/>
      </w:pPr>
      <w:r>
        <w:rPr>
          <w:rFonts w:ascii="Yu Gothic" w:cs="Yu Gothic" w:eastAsia="Yu Gothic" w:hAnsi="Yu Gothic"/>
          <w:b w:val="false"/>
          <w:bCs w:val="false"/>
          <w:sz w:val="20"/>
          <w:szCs w:val="20"/>
        </w:rPr>
        <w:t xml:space="preserve">（1）機械装置の更新（旋盤・NC加工機導入）により複雑加工を自動化。手作業が月800時間→300時間に削減。（2）生産管理システム導入により生産待機時間を30%削減。（3）従業員教育と技能講習。（4）賃上げ実行：事業場内最低賃金を時給960円に引き上げ。</w:t>
      </w:r>
    </w:p>
    <w:p>
      <w:pPr>
        <w:spacing w:after="60"/>
      </w:pPr>
      <w:r>
        <w:rPr>
          <w:rFonts w:ascii="Yu Gothic" w:cs="Yu Gothic" w:eastAsia="Yu Gothic" w:hAnsi="Yu Gothic"/>
          <w:b w:val="false"/>
          <w:bCs w:val="false"/>
          <w:sz w:val="18"/>
          <w:szCs w:val="18"/>
        </w:rPr>
        <w:t xml:space="preserve">投資の概要：機械装置費1,500万円・システム構築費400万円・ネットワーク・通信機器費120万円・社員研修費80万円・外注試作加工費100万円・コンサルティング費60万円。合計2,260万円（税抜き）。補助対象経費2,200万円。</w:t>
      </w:r>
    </w:p>
    <w:p>
      <w:pPr>
        <w:spacing w:after="60"/>
      </w:pPr>
      <w:r>
        <w:rPr>
          <w:rFonts w:ascii="Yu Gothic" w:cs="Yu Gothic" w:eastAsia="Yu Gothic" w:hAnsi="Yu Gothic"/>
          <w:b/>
          <w:bCs/>
          <w:sz w:val="18"/>
          <w:szCs w:val="18"/>
        </w:rPr>
        <w:t xml:space="preserve">導入する設備・システム（補助対象経費）</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c>
          <w:tcPr>
            <w:tcW w:type="pct" w:w="3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導入設備・システム</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金額</w:t>
            </w:r>
          </w:p>
        </w:tc>
        <w:tc>
          <w:tcPr>
            <w:tcW w:type="pct" w:w="5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目的・課題解決への寄与</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機械装置費（旋盤・NC加工機）</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15,000,000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単価50万円以上で補助対象。見積3社から相見積取得済み。納品・支払い完了後に補助金交付。</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システム構築費（IoT・クラウド型ERP）</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4,000,000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一般型での機械装置費以外経費は総額500万円まで。ここまでで合計4,666,667円。</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ネットワーク・通信機器費</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1,200,000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生産管理システム導入に伴う必須ハードウェア。補助対象経費として認識。副経費枠に含める。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社員研修・人材育成費</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800,000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新設備・システム操作研修。外部研修機関への委託。副経費として扱い、上限500万円内。</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外注試作・加工費</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1,000,000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革新的な製品開発に伴う試作経費。補助対象経費として認識。副経費枠に含める。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コンサルティング・診断費</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600,000</w:t>
            </w:r>
          </w:p>
        </w:tc>
        <w:tc>
          <w:tcPr>
            <w:tcW w:type="pct" w:w="50%"/>
            <w:tcMar>
              <w:top w:type="dxa" w:w="30"/>
              <w:left w:type="dxa" w:w="60"/>
              <w:bottom w:type="dxa" w:w="30"/>
              <w:right w:type="dxa" w:w="60"/>
            </w:tcMar>
          </w:tcPr>
          <w:p>
            <w:r>
              <w:rPr>
                <w:rFonts w:ascii="Yu Gothic" w:cs="Yu Gothic" w:eastAsia="Yu Gothic" w:hAnsi="Yu Gothic"/>
                <w:b w:val="false"/>
                <w:bCs w:val="false"/>
                <w:sz w:val="14"/>
                <w:szCs w:val="14"/>
              </w:rPr>
              <w:t xml:space="preserve">認定支援機関による事業計画策定支援、経営診断。副経費枠内で認識。</w:t>
            </w:r>
          </w:p>
        </w:tc>
      </w:tr>
    </w:tbl>
    <w:p>
      <w:pPr>
        <w:spacing w:after="60"/>
      </w:pPr>
      <w:r>
        <w:rPr>
          <w:rFonts w:ascii="Yu Gothic" w:cs="Yu Gothic" w:eastAsia="Yu Gothic" w:hAnsi="Yu Gothic"/>
          <w:b/>
          <w:bCs/>
          <w:sz w:val="18"/>
          <w:szCs w:val="18"/>
        </w:rPr>
        <w:t xml:space="preserve">実施体制</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役割</w:t>
            </w:r>
          </w:p>
        </w:tc>
        <w:tc>
          <w:tcPr>
            <w:tcW w:type="pct" w:w="3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氏名・所属（記入）</w:t>
            </w:r>
          </w:p>
        </w:tc>
        <w:tc>
          <w:tcPr>
            <w:tcW w:type="pct" w:w="4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担当業務（記入）</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統括責任者</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実務担当（現場・経理）</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外部支援（認定支援機関・ベンダー等）</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
            </w:r>
          </w:p>
        </w:tc>
      </w:tr>
    </w:tbl>
    <w:p>
      <w:pPr>
        <w:spacing w:after="60"/>
      </w:pPr>
      <w:r>
        <w:rPr>
          <w:rFonts w:ascii="Yu Gothic" w:cs="Yu Gothic" w:eastAsia="Yu Gothic" w:hAnsi="Yu Gothic"/>
          <w:b/>
          <w:bCs/>
          <w:sz w:val="18"/>
          <w:szCs w:val="18"/>
        </w:rPr>
        <w:t xml:space="preserve">実施スケジュール（概要）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フェーズ</w:t>
            </w:r>
          </w:p>
        </w:tc>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時期</w:t>
            </w:r>
          </w:p>
        </w:tc>
        <w:tc>
          <w:tcPr>
            <w:tcW w:type="pct" w:w="5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主な作業</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フェーズ0：事前準備・制度理解</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申請前3ヶ月（1月～3月）</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①ものづくり補助金など公募要領を精読。②認定支援機関と契約。③GビズIDプライム登録。④現状分析：決算書・給与台帳・生産実績整理。</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フェーズ1：事業計画書・申請書作成</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公募開始～申請締切（通常2-3ヶ月）</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①事業計画書ドラフト作成。②認定支援機関による精査・修正。③確認書作成。④相見積取得。⑤申請書記入・提出。</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フェーズ2：採択発表・交付決定手続き</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申請後1-2ヶ月（採択発表）→交付決定通知書送付</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①採択可否確認（中小企業庁HP）。②交付申請手続き。③交付決定通知書受取。</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フェーズ3：事業実施・設備導入・人材育成</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交付決定日～補助事業期間終了日（通常12-18ヶ月）</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①交付決定通知書の内容確認。②設備発注・納品・検収・支払い。③システム導入・テスト。④従業員研修実施。⑤給与改善実行。⑥投資効果記録。</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フェーズ4：事業完了・実績報告準備</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補助事業期間終了日～完了報告提出期限（通常30日以内）</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①事業完了確認。②実績報告書作成。③経費根拠書類整理。④投資効果実績集計。⑤報告書一式提出。</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フェーズ5：確定検査・精算・補助金交付</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実績報告提出後2-4ヶ月</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①補助金事務局による実績確認。②検査指摘対応。③補助金額確定。④本交付・銀行振込。</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フェーズ6：フォローアップ・事後評価（5年間）</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補助金交付日～5年後</w:t>
            </w:r>
          </w:p>
        </w:tc>
        <w:tc>
          <w:tcPr>
            <w:tcW w:type="pct" w:w="52%"/>
            <w:tcMar>
              <w:top w:type="dxa" w:w="30"/>
              <w:left w:type="dxa" w:w="60"/>
              <w:bottom w:type="dxa" w:w="30"/>
              <w:right w:type="dxa" w:w="60"/>
            </w:tcMar>
          </w:tcPr>
          <w:p>
            <w:r>
              <w:rPr>
                <w:rFonts w:ascii="Yu Gothic" w:cs="Yu Gothic" w:eastAsia="Yu Gothic" w:hAnsi="Yu Gothic"/>
                <w:b w:val="false"/>
                <w:bCs w:val="false"/>
                <w:sz w:val="14"/>
                <w:szCs w:val="14"/>
              </w:rPr>
              <w:t xml:space="preserve">①年1回の実績報告。②財産処分制限遵守。③事業効果継続確認。④5年経過後の設備処分。</w:t>
            </w:r>
          </w:p>
        </w:tc>
      </w:tr>
    </w:tbl>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・実現可能性（体制・スケジュール・技術面の裏付け）が審査の柱。「誰が・いつ・何を」を具体に書く。</w:t>
            </w:r>
          </w:p>
          <w:p>
            <w:pPr>
              <w:spacing w:after="30"/>
            </w:pPr>
            <w:r>
              <w:rPr>
                <w:rFonts w:ascii="Yu Gothic" w:cs="Yu Gothic" w:eastAsia="Yu Gothic" w:hAnsi="Yu Gothic"/>
                <w:color w:val="4A4436"/>
                <w:sz w:val="16"/>
                <w:szCs w:val="16"/>
              </w:rPr>
              <w:t xml:space="preserve">・交付決定前の発注・契約・支払は補助対象外。スケジュールは交付決定を起点に組む。</w:t>
            </w:r>
          </w:p>
          <w:p>
            <w:pPr>
              <w:spacing w:after="30"/>
            </w:pPr>
            <w:r>
              <w:rPr>
                <w:rFonts w:ascii="Yu Gothic" w:cs="Yu Gothic" w:eastAsia="Yu Gothic" w:hAnsi="Yu Gothic"/>
                <w:color w:val="4A4436"/>
                <w:sz w:val="16"/>
                <w:szCs w:val="16"/>
              </w:rPr>
              <w:t xml:space="preserve">・価格の妥当性は相見積で示す（機械装置等は複数社見積が求められる制度が多い）。</w:t>
            </w:r>
          </w:p>
        </w:tc>
      </w:tr>
    </w:tbl>
    <w:p>
      <w:pPr>
        <w:pStyle w:val="Heading3"/>
        <w:spacing w:after="60" w:before="180"/>
      </w:pPr>
      <w:r>
        <w:rPr>
          <w:rFonts w:ascii="Yu Gothic" w:cs="Yu Gothic" w:eastAsia="Yu Gothic" w:hAnsi="Yu Gothic"/>
          <w:b/>
          <w:bCs/>
        </w:rPr>
        <w:t xml:space="preserve">④ 事業の効果（売上・付加価値額の計画：3〜5年）</w:t>
      </w:r>
    </w:p>
    <w:p>
      <w:pPr>
        <w:spacing w:after="60"/>
      </w:pPr>
      <w:r>
        <w:rPr>
          <w:rFonts w:ascii="Yu Gothic" w:cs="Yu Gothic" w:eastAsia="Yu Gothic" w:hAnsi="Yu Gothic"/>
          <w:b w:val="false"/>
          <w:bCs w:val="false"/>
          <w:sz w:val="20"/>
          <w:szCs w:val="20"/>
        </w:rPr>
        <w:t xml:space="preserve">年間6,000時間の労働時間削減、生産ユニットあたり生産高30%増。売上高年率10%増加→5年目に付加価値額年率3%以上達成。事業場内最低賃金+30円（時給960円）、給与支給総額年率1.5%以上増加。残業削減（月平均80時間→50時間）。</w:t>
      </w:r>
    </w:p>
    <w:p>
      <w:pPr>
        <w:spacing w:after="60"/>
      </w:pPr>
      <w:r>
        <w:rPr>
          <w:rFonts w:ascii="Yu Gothic" w:cs="Yu Gothic" w:eastAsia="Yu Gothic" w:hAnsi="Yu Gothic"/>
          <w:b w:val="false"/>
          <w:bCs w:val="false"/>
          <w:sz w:val="18"/>
          <w:szCs w:val="18"/>
        </w:rPr>
        <w:t xml:space="preserve">数値目標：付加価値額：現在3億円→5年目3.15億円。給与支給総額：現在2.4億円→5年目2.58億円。労働時間：月平均100時間→50時間。事業場内最低賃金：現在930円→960円→1,000円（5年目目標）。</w:t>
      </w:r>
    </w:p>
    <w:p>
      <w:pPr>
        <w:spacing w:after="60"/>
      </w:pPr>
      <w:r>
        <w:rPr>
          <w:rFonts w:ascii="Yu Gothic" w:cs="Yu Gothic" w:eastAsia="Yu Gothic" w:hAnsi="Yu Gothic"/>
          <w:b/>
          <w:bCs/>
          <w:sz w:val="18"/>
          <w:szCs w:val="18"/>
        </w:rPr>
        <w:t xml:space="preserve">収益・付加価値額 計画表（基準年度＋5年）</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tblGrid>
      <w:tr>
        <w:tc>
          <w:tcPr>
            <w:tcW w:type="pct" w:w="2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指標</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基準年度</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1年目</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2年目</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3年目</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4年目</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5年目</w:t>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売上高</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営業利益</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人件費（給与支給総額）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減価償却費</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付加価値額（＝営業利益＋人件費＋減価償却費）</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付加価値額 伸び率（年率）</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事業場内最低賃金</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bl>
    <w:p>
      <w:pPr>
        <w:spacing w:after="60"/>
      </w:pPr>
      <w:r>
        <w:rPr>
          <w:rFonts w:ascii="Yu Gothic" w:cs="Yu Gothic" w:eastAsia="Yu Gothic" w:hAnsi="Yu Gothic"/>
          <w:b/>
          <w:bCs/>
          <w:sz w:val="18"/>
          <w:szCs w:val="18"/>
        </w:rPr>
        <w:t xml:space="preserve">算定根拠（単価×数量・稼働率・工数削減時間×時給換算など、積み上げの算式で記載）</w:t>
      </w:r>
    </w:p>
    <w:p>
      <w:pPr>
        <w:spacing w:after="60"/>
      </w:pPr>
      <w:r>
        <w:rPr>
          <w:rFonts w:ascii="Yu Gothic" w:cs="Yu Gothic" w:eastAsia="Yu Gothic" w:hAnsi="Yu Gothic"/>
          <w:b w:val="false"/>
          <w:bCs w:val="false"/>
          <w:color w:val="8A8170"/>
          <w:sz w:val="20"/>
          <w:szCs w:val="20"/>
        </w:rPr>
        <w:t xml:space="preserve">（記入）</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付加価値額（＝営業利益＋人件費＋減価償却費）や給与支給総額の年率成長が要件・目標として課される制度が多い。定義と算式を明記し、要件水準との整合を確認する（具体的な要件水準は公募要領で最新要件を確認）。</w:t>
            </w:r>
          </w:p>
          <w:p>
            <w:pPr>
              <w:spacing w:after="30"/>
            </w:pPr>
            <w:r>
              <w:rPr>
                <w:rFonts w:ascii="Yu Gothic" w:cs="Yu Gothic" w:eastAsia="Yu Gothic" w:hAnsi="Yu Gothic"/>
                <w:color w:val="4A4436"/>
                <w:sz w:val="16"/>
                <w:szCs w:val="16"/>
              </w:rPr>
              <w:t xml:space="preserve">・効果は投資額との対比（費用対効果）で妥当性を示す。過大な計画はかえって実現可能性を疑われる。</w:t>
            </w:r>
          </w:p>
          <w:p>
            <w:pPr>
              <w:spacing w:after="30"/>
            </w:pPr>
            <w:r>
              <w:rPr>
                <w:rFonts w:ascii="Yu Gothic" w:cs="Yu Gothic" w:eastAsia="Yu Gothic" w:hAnsi="Yu Gothic"/>
                <w:color w:val="4A4436"/>
                <w:sz w:val="16"/>
                <w:szCs w:val="16"/>
              </w:rPr>
              <w:t xml:space="preserve">・効果の数値は②の課題の数値と対応させ、達成時期・測定方法まで書く。</w:t>
            </w:r>
          </w:p>
        </w:tc>
      </w:tr>
    </w:tbl>
    <w:p>
      <w:pPr>
        <w:pStyle w:val="Heading3"/>
        <w:spacing w:after="60" w:before="180"/>
      </w:pPr>
      <w:r>
        <w:rPr>
          <w:rFonts w:ascii="Yu Gothic" w:cs="Yu Gothic" w:eastAsia="Yu Gothic" w:hAnsi="Yu Gothic"/>
          <w:b/>
          <w:bCs/>
        </w:rPr>
        <w:t xml:space="preserve">⑤ 資金計画（調達内訳）</w:t>
      </w:r>
    </w:p>
    <w:p>
      <w:pPr>
        <w:spacing w:after="60"/>
      </w:pPr>
      <w:r>
        <w:rPr>
          <w:rFonts w:ascii="Yu Gothic" w:cs="Yu Gothic" w:eastAsia="Yu Gothic" w:hAnsi="Yu Gothic"/>
          <w:b/>
          <w:bCs/>
          <w:sz w:val="18"/>
          <w:szCs w:val="18"/>
        </w:rPr>
        <w:t xml:space="preserve">経費明細（補助対象・補助額・自己負担）</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c>
          <w:tcPr>
            <w:tcW w:type="pct" w:w="3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経費項目</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区分</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経費額</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補助額</w:t>
            </w:r>
          </w:p>
        </w:tc>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自己負担</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機械装置費（旋盤・NC加工機）</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15,000,000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10,000,000</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5,000,000</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システム構築費（IoT・クラウド型ERP）</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4,000,000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2,666,667</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1,333,333</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ネットワーク・通信機器費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1,200,000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800,000</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400,000</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社員研修・人材育成費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800,000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533,333</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266,667</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外注試作・加工費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1,000,000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666,667</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333,333</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コンサルティング・診断費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600,000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400,000</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200,000</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知的財産権登録・取得費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補助対象外</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300,000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0</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300,000</w:t>
            </w:r>
          </w:p>
        </w:tc>
      </w:tr>
      <w:tr>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既存設備処分・移設費</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補助対象外</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500,000</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0</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500,000</w:t>
            </w:r>
          </w:p>
        </w:tc>
      </w:tr>
    </w:tbl>
    <w:p>
      <w:pPr>
        <w:spacing w:after="60"/>
      </w:pPr>
      <w:r>
        <w:rPr>
          <w:rFonts w:ascii="Yu Gothic" w:cs="Yu Gothic" w:eastAsia="Yu Gothic" w:hAnsi="Yu Gothic"/>
          <w:b/>
          <w:bCs/>
          <w:sz w:val="18"/>
          <w:szCs w:val="18"/>
        </w:rPr>
        <w:t xml:space="preserve">調達内訳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3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項目</w:t>
            </w:r>
          </w:p>
        </w:tc>
        <w:tc>
          <w:tcPr>
            <w:tcW w:type="pct" w:w="6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内容</w:t>
            </w:r>
          </w:p>
        </w:tc>
      </w:tr>
      <w:tr>
        <w:tc>
          <w:tcPr>
            <w:tcW w:type="pct" w:w="38%"/>
            <w:tcMar>
              <w:top w:type="dxa" w:w="30"/>
              <w:left w:type="dxa" w:w="60"/>
              <w:bottom w:type="dxa" w:w="30"/>
              <w:right w:type="dxa" w:w="60"/>
            </w:tcMar>
          </w:tcPr>
          <w:p>
            <w:r>
              <w:rPr>
                <w:rFonts w:ascii="Yu Gothic" w:cs="Yu Gothic" w:eastAsia="Yu Gothic" w:hAnsi="Yu Gothic"/>
                <w:b w:val="false"/>
                <w:bCs w:val="false"/>
                <w:sz w:val="14"/>
                <w:szCs w:val="14"/>
              </w:rPr>
              <w:t xml:space="preserve">総事業費（経費合計）</w:t>
            </w:r>
          </w:p>
        </w:tc>
        <w:tc>
          <w:tcPr>
            <w:tcW w:type="pct" w:w="62%"/>
            <w:tcMar>
              <w:top w:type="dxa" w:w="30"/>
              <w:left w:type="dxa" w:w="60"/>
              <w:bottom w:type="dxa" w:w="30"/>
              <w:right w:type="dxa" w:w="60"/>
            </w:tcMar>
          </w:tcPr>
          <w:p>
            <w:r>
              <w:rPr>
                <w:rFonts w:ascii="Yu Gothic" w:cs="Yu Gothic" w:eastAsia="Yu Gothic" w:hAnsi="Yu Gothic"/>
                <w:b w:val="false"/>
                <w:bCs w:val="false"/>
                <w:sz w:val="14"/>
                <w:szCs w:val="14"/>
              </w:rPr>
              <w:t xml:space="preserve">23,400,000円</w:t>
            </w:r>
          </w:p>
        </w:tc>
      </w:tr>
      <w:tr>
        <w:tc>
          <w:tcPr>
            <w:tcW w:type="pct" w:w="38%"/>
            <w:tcMar>
              <w:top w:type="dxa" w:w="30"/>
              <w:left w:type="dxa" w:w="60"/>
              <w:bottom w:type="dxa" w:w="30"/>
              <w:right w:type="dxa" w:w="60"/>
            </w:tcMar>
          </w:tcPr>
          <w:p>
            <w:r>
              <w:rPr>
                <w:rFonts w:ascii="Yu Gothic" w:cs="Yu Gothic" w:eastAsia="Yu Gothic" w:hAnsi="Yu Gothic"/>
                <w:b w:val="false"/>
                <w:bCs w:val="false"/>
                <w:sz w:val="14"/>
                <w:szCs w:val="14"/>
              </w:rPr>
              <w:t xml:space="preserve">うち補助金（見込・精算払＝後払い）</w:t>
            </w:r>
          </w:p>
        </w:tc>
        <w:tc>
          <w:tcPr>
            <w:tcW w:type="pct" w:w="62%"/>
            <w:tcMar>
              <w:top w:type="dxa" w:w="30"/>
              <w:left w:type="dxa" w:w="60"/>
              <w:bottom w:type="dxa" w:w="30"/>
              <w:right w:type="dxa" w:w="60"/>
            </w:tcMar>
          </w:tcPr>
          <w:p>
            <w:r>
              <w:rPr>
                <w:rFonts w:ascii="Yu Gothic" w:cs="Yu Gothic" w:eastAsia="Yu Gothic" w:hAnsi="Yu Gothic"/>
                <w:b w:val="false"/>
                <w:bCs w:val="false"/>
                <w:sz w:val="14"/>
                <w:szCs w:val="14"/>
              </w:rPr>
              <w:t xml:space="preserve">15,066,667円</w:t>
            </w:r>
          </w:p>
        </w:tc>
      </w:tr>
      <w:tr>
        <w:tc>
          <w:tcPr>
            <w:tcW w:type="pct" w:w="38%"/>
            <w:tcMar>
              <w:top w:type="dxa" w:w="30"/>
              <w:left w:type="dxa" w:w="60"/>
              <w:bottom w:type="dxa" w:w="30"/>
              <w:right w:type="dxa" w:w="60"/>
            </w:tcMar>
          </w:tcPr>
          <w:p>
            <w:r>
              <w:rPr>
                <w:rFonts w:ascii="Yu Gothic" w:cs="Yu Gothic" w:eastAsia="Yu Gothic" w:hAnsi="Yu Gothic"/>
                <w:b w:val="false"/>
                <w:bCs w:val="false"/>
                <w:sz w:val="14"/>
                <w:szCs w:val="14"/>
              </w:rPr>
              <w:t xml:space="preserve">自己資金</w:t>
            </w:r>
          </w:p>
        </w:tc>
        <w:tc>
          <w:tcPr>
            <w:tcW w:type="pct" w:w="62%"/>
            <w:tcMar>
              <w:top w:type="dxa" w:w="30"/>
              <w:left w:type="dxa" w:w="60"/>
              <w:bottom w:type="dxa" w:w="30"/>
              <w:right w:type="dxa" w:w="60"/>
            </w:tcMar>
          </w:tcPr>
          <w:p>
            <w:r>
              <w:rPr>
                <w:rFonts w:ascii="Yu Gothic" w:cs="Yu Gothic" w:eastAsia="Yu Gothic" w:hAnsi="Yu Gothic"/>
                <w:b w:val="false"/>
                <w:bCs w:val="false"/>
                <w:sz w:val="14"/>
                <w:szCs w:val="14"/>
              </w:rPr>
              <w:t xml:space="preserve">（記入：直近の預金残高等、裏付けとともに）</w:t>
            </w:r>
          </w:p>
        </w:tc>
      </w:tr>
      <w:tr>
        <w:tc>
          <w:tcPr>
            <w:tcW w:type="pct" w:w="38%"/>
            <w:tcMar>
              <w:top w:type="dxa" w:w="30"/>
              <w:left w:type="dxa" w:w="60"/>
              <w:bottom w:type="dxa" w:w="30"/>
              <w:right w:type="dxa" w:w="60"/>
            </w:tcMar>
          </w:tcPr>
          <w:p>
            <w:r>
              <w:rPr>
                <w:rFonts w:ascii="Yu Gothic" w:cs="Yu Gothic" w:eastAsia="Yu Gothic" w:hAnsi="Yu Gothic"/>
                <w:b w:val="false"/>
                <w:bCs w:val="false"/>
                <w:sz w:val="14"/>
                <w:szCs w:val="14"/>
              </w:rPr>
              <w:t xml:space="preserve">借入金（つなぎ融資含む）</w:t>
            </w:r>
          </w:p>
        </w:tc>
        <w:tc>
          <w:tcPr>
            <w:tcW w:type="pct" w:w="62%"/>
            <w:tcMar>
              <w:top w:type="dxa" w:w="30"/>
              <w:left w:type="dxa" w:w="60"/>
              <w:bottom w:type="dxa" w:w="30"/>
              <w:right w:type="dxa" w:w="60"/>
            </w:tcMar>
          </w:tcPr>
          <w:p>
            <w:r>
              <w:rPr>
                <w:rFonts w:ascii="Yu Gothic" w:cs="Yu Gothic" w:eastAsia="Yu Gothic" w:hAnsi="Yu Gothic"/>
                <w:b w:val="false"/>
                <w:bCs w:val="false"/>
                <w:sz w:val="14"/>
                <w:szCs w:val="14"/>
              </w:rPr>
              <w:t xml:space="preserve">（記入：金融機関名・融資予定額・協議状況）</w:t>
            </w:r>
          </w:p>
        </w:tc>
      </w:tr>
    </w:tbl>
    <w:p>
      <w:pPr>
        <w:spacing w:after="60"/>
      </w:pPr>
      <w:r>
        <w:rPr>
          <w:rFonts w:ascii="Yu Gothic" w:cs="Yu Gothic" w:eastAsia="Yu Gothic" w:hAnsi="Yu Gothic"/>
          <w:b w:val="false"/>
          <w:bCs w:val="false"/>
          <w:color w:val="8A8170"/>
          <w:sz w:val="16"/>
          <w:szCs w:val="16"/>
        </w:rPr>
        <w:t xml:space="preserve">※ 補助金は後払い（精算払）。事業実施中は経費全額の立替が必要です（Excel「資金繰り」シートでピーク自己資金所要額を確認）。</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・資金調達の確実性を示す（自己資金の残高資料・金融機関の融資証明等）。資金計画の破綻は不採択・採択後辞退の典型要因。</w:t>
            </w:r>
          </w:p>
          <w:p>
            <w:pPr>
              <w:spacing w:after="30"/>
            </w:pPr>
            <w:r>
              <w:rPr>
                <w:rFonts w:ascii="Yu Gothic" w:cs="Yu Gothic" w:eastAsia="Yu Gothic" w:hAnsi="Yu Gothic"/>
                <w:color w:val="4A4436"/>
                <w:sz w:val="16"/>
                <w:szCs w:val="16"/>
              </w:rPr>
              <w:t xml:space="preserve">・補助金入金までの立替期間を含めた、つなぎ資金まで計画する。</w:t>
            </w:r>
          </w:p>
        </w:tc>
      </w:tr>
    </w:tbl>
    <w:p>
      <w:pPr>
        <w:pStyle w:val="Heading3"/>
        <w:spacing w:after="60" w:before="180"/>
      </w:pPr>
      <w:r>
        <w:rPr>
          <w:rFonts w:ascii="Yu Gothic" w:cs="Yu Gothic" w:eastAsia="Yu Gothic" w:hAnsi="Yu Gothic"/>
          <w:b/>
          <w:bCs/>
        </w:rPr>
        <w:t xml:space="preserve">⑥ 加点項目への対応</w:t>
      </w:r>
    </w:p>
    <w:p>
      <w:pPr>
        <w:spacing w:after="60"/>
      </w:pPr>
      <w:r>
        <w:rPr>
          <w:rFonts w:ascii="Yu Gothic" w:cs="Yu Gothic" w:eastAsia="Yu Gothic" w:hAnsi="Yu Gothic"/>
          <w:b w:val="false"/>
          <w:bCs w:val="false"/>
          <w:sz w:val="20"/>
          <w:szCs w:val="20"/>
        </w:rPr>
        <w:t xml:space="preserve">（1）賃上げ表明書。（2）認定支援機関の確認書。（3）経営革新計画の承認取得。（4）融資予定額500万円を地域金融機関と事前協議済み。</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4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代表的な加点項目</w:t>
            </w:r>
          </w:p>
        </w:tc>
        <w:tc>
          <w:tcPr>
            <w:tcW w:type="pct" w:w="5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該当・対応状況（記入）</w:t>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賃上げの表明（事業場内最低賃金・給与支給総額の引上げ）</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事業継続力強化計画（BCP）の認定</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経営革新計画・先端設備等導入計画等の承認</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GX・DXに関する取組</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くるみん・えるぼし等の認定（女性活躍・子育て支援）</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（本件の加点書類）賃上げ表明書（事業場内最低賃金+30円以上の誓約）</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未着手｜採択後に従わない場合は補助金返納リスク。給与規程改訂の準備が必須。</w:t>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（本件の加点書類）経営革新計画書（都道府県の承認取得）</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未着手｜ものづくり補助金の加点要件。新製品・新技術・新サービスの革新性を立証。</w:t>
            </w:r>
          </w:p>
        </w:tc>
      </w:tr>
      <w:tr>
        <w:tc>
          <w:tcPr>
            <w:tcW w:type="pct" w:w="44%"/>
            <w:tcMar>
              <w:top w:type="dxa" w:w="30"/>
              <w:left w:type="dxa" w:w="60"/>
              <w:bottom w:type="dxa" w:w="30"/>
              <w:right w:type="dxa" w:w="60"/>
            </w:tcMar>
          </w:tcPr>
          <w:p>
            <w:r>
              <w:rPr>
                <w:rFonts w:ascii="Yu Gothic" w:cs="Yu Gothic" w:eastAsia="Yu Gothic" w:hAnsi="Yu Gothic"/>
                <w:b w:val="false"/>
                <w:bCs w:val="false"/>
                <w:sz w:val="14"/>
                <w:szCs w:val="14"/>
              </w:rPr>
              <w:t xml:space="preserve">（本件の加点書類）銀行の融資予定証明書（融資予定額の確認）</w:t>
            </w:r>
          </w:p>
        </w:tc>
        <w:tc>
          <w:tcPr>
            <w:tcW w:type="pct" w:w="56%"/>
            <w:tcMar>
              <w:top w:type="dxa" w:w="30"/>
              <w:left w:type="dxa" w:w="60"/>
              <w:bottom w:type="dxa" w:w="30"/>
              <w:right w:type="dxa" w:w="60"/>
            </w:tcMar>
          </w:tcPr>
          <w:p>
            <w:r>
              <w:rPr>
                <w:rFonts w:ascii="Yu Gothic" w:cs="Yu Gothic" w:eastAsia="Yu Gothic" w:hAnsi="Yu Gothic"/>
                <w:b w:val="false"/>
                <w:bCs w:val="false"/>
                <w:sz w:val="14"/>
                <w:szCs w:val="14"/>
              </w:rPr>
              <w:t xml:space="preserve">未着手｜自己資金と補助金の組み合わせ投資を実現。融資予定有無も加点対象。</w:t>
            </w:r>
          </w:p>
        </w:tc>
      </w:tr>
    </w:tbl>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tblGrid>
      <w:tr>
        <w:tc>
          <w:tcPr>
            <w:tcW w:type="pct" w:w="100%"/>
            <w:shd w:fill="F5F1E6" w:color="auto" w:val="clear"/>
            <w:tcMar>
              <w:top w:type="dxa" w:w="60"/>
              <w:left w:type="dxa" w:w="100"/>
              <w:bottom w:type="dxa" w:w="60"/>
              <w:right w:type="dxa" w:w="100"/>
            </w:tcMar>
          </w:tcPr>
          <w:p>
            <w:pPr>
              <w:spacing w:after="40"/>
            </w:pPr>
            <w:r>
              <w:rPr>
                <w:rFonts w:ascii="Yu Gothic" w:cs="Yu Gothic" w:eastAsia="Yu Gothic" w:hAnsi="Yu Gothic"/>
                <w:b/>
                <w:bCs/>
                <w:color w:val="6B5F3F"/>
                <w:sz w:val="16"/>
                <w:szCs w:val="16"/>
              </w:rPr>
              <w:t xml:space="preserve">【審査の視点】</w:t>
            </w:r>
          </w:p>
          <w:p>
            <w:pPr>
              <w:spacing w:after="30"/>
            </w:pPr>
            <w:r>
              <w:rPr>
                <w:rFonts w:ascii="Yu Gothic" w:cs="Yu Gothic" w:eastAsia="Yu Gothic" w:hAnsi="Yu Gothic"/>
                <w:color w:val="4A4436"/>
                <w:sz w:val="16"/>
                <w:szCs w:val="16"/>
              </w:rPr>
              <w:t xml:space="preserve">・加点は採択率に直結する。認定・承認系（事業継続力強化計画・経営革新計画等）は取得に時間がかかるため、公募前から着手する。</w:t>
            </w:r>
          </w:p>
          <w:p>
            <w:pPr>
              <w:spacing w:after="30"/>
            </w:pPr>
            <w:r>
              <w:rPr>
                <w:rFonts w:ascii="Yu Gothic" w:cs="Yu Gothic" w:eastAsia="Yu Gothic" w:hAnsi="Yu Gothic"/>
                <w:color w:val="4A4436"/>
                <w:sz w:val="16"/>
                <w:szCs w:val="16"/>
              </w:rPr>
              <w:t xml:space="preserve">・賃上げ等の表明は、未達の場合に補助金の返還・減額となる制度がある。実行可能な水準で表明する。</w:t>
            </w:r>
          </w:p>
          <w:p>
            <w:pPr>
              <w:spacing w:after="30"/>
            </w:pPr>
            <w:r>
              <w:rPr>
                <w:rFonts w:ascii="Yu Gothic" w:cs="Yu Gothic" w:eastAsia="Yu Gothic" w:hAnsi="Yu Gothic"/>
                <w:color w:val="4A4436"/>
                <w:sz w:val="16"/>
                <w:szCs w:val="16"/>
              </w:rPr>
              <w:t xml:space="preserve">・対象となる加点項目・配点は公募回ごとに変わる。公募要領で最新要件を確認。</w:t>
            </w:r>
          </w:p>
        </w:tc>
      </w:tr>
    </w:tbl>
    <w:p>
      <w:pPr>
        <w:pStyle w:val="Heading2"/>
        <w:spacing w:after="80" w:before="220"/>
      </w:pPr>
      <w:r>
        <w:rPr>
          <w:rFonts w:ascii="Yu Gothic" w:cs="Yu Gothic" w:eastAsia="Yu Gothic" w:hAnsi="Yu Gothic"/>
          <w:b/>
          <w:bCs/>
        </w:rPr>
        <w:t xml:space="preserve">第2部　使える制度の診断</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制度名</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区分</w:t>
            </w:r>
          </w:p>
        </w:tc>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上限／補助率</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該当性</w:t>
            </w:r>
          </w:p>
        </w:tc>
        <w:tc>
          <w:tcPr>
            <w:tcW w:type="pct" w:w="3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採択ポイント</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ものづくり補助金（省力化投資枠・革新的サービス開発枠など）</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1,300万円／2/3以内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高</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交付決定前の発注厳禁。事業計画は5年計画で数値目標明記。</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小規模事業者持続化補助金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250万円／2/3以内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中</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商工会への事前相談が必須。採択率が比較的高い。</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IT導入補助金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450万円／1/2以内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高</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認定ベンダーとの事前調整が必須。交付決定後4ヶ月以内の実装。</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キャリアアップ助成金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助成金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1人あたり57万円～80万円／定額制</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中</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ハローワーク相談が必須。6ヶ月前から計画書提出。</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業務改善助成金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助成金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600万円／3/4以内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中</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都道府県労働局に事前相談。複数経費の組み合わせが採択のポイント。</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人材開発支援助成金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助成金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訓練時間に応じた定額制／定額制</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中</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訓練計画書の提出が事前認定に必須。</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雇用調整助成金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助成金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1人あたり休業手当の一部／中小企業2/3</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低</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現在のサンプル企業は対象外の可能性が高い。</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事業承継・引継ぎ補助金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800万円～1,200万円／2/3以内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低</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事業承継予定がない場合は対象外。</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省力化投資補助金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1,000万円～5,000万円／1/2以内～2/3以内</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高</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最新制度で毎年更新。ものづくり補助金と選択。</w:t>
            </w:r>
          </w:p>
        </w:tc>
      </w:tr>
      <w:tr>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グローバル展開・海外販路開拓補助金</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補助金</w:t>
            </w:r>
          </w:p>
        </w:tc>
        <w:tc>
          <w:tcPr>
            <w:tcW w:type="pct" w:w="22%"/>
            <w:tcMar>
              <w:top w:type="dxa" w:w="30"/>
              <w:left w:type="dxa" w:w="60"/>
              <w:bottom w:type="dxa" w:w="30"/>
              <w:right w:type="dxa" w:w="60"/>
            </w:tcMar>
          </w:tcPr>
          <w:p>
            <w:r>
              <w:rPr>
                <w:rFonts w:ascii="Yu Gothic" w:cs="Yu Gothic" w:eastAsia="Yu Gothic" w:hAnsi="Yu Gothic"/>
                <w:b w:val="false"/>
                <w:bCs w:val="false"/>
                <w:sz w:val="14"/>
                <w:szCs w:val="14"/>
              </w:rPr>
              <w:t xml:space="preserve">様々（100万円～1,000万円以上）／1/2～2/3</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低</w:t>
            </w:r>
          </w:p>
        </w:tc>
        <w:tc>
          <w:tcPr>
            <w:tcW w:type="pct" w:w="30%"/>
            <w:tcMar>
              <w:top w:type="dxa" w:w="30"/>
              <w:left w:type="dxa" w:w="60"/>
              <w:bottom w:type="dxa" w:w="30"/>
              <w:right w:type="dxa" w:w="60"/>
            </w:tcMar>
          </w:tcPr>
          <w:p>
            <w:r>
              <w:rPr>
                <w:rFonts w:ascii="Yu Gothic" w:cs="Yu Gothic" w:eastAsia="Yu Gothic" w:hAnsi="Yu Gothic"/>
                <w:b w:val="false"/>
                <w:bCs w:val="false"/>
                <w:sz w:val="14"/>
                <w:szCs w:val="14"/>
              </w:rPr>
              <w:t xml:space="preserve">国内展開を優先する場合は優先度低い。</w:t>
            </w:r>
          </w:p>
        </w:tc>
      </w:tr>
    </w:tbl>
    <w:p>
      <w:pPr>
        <w:pStyle w:val="Heading2"/>
        <w:spacing w:after="80" w:before="220"/>
      </w:pPr>
      <w:r>
        <w:rPr>
          <w:rFonts w:ascii="Yu Gothic" w:cs="Yu Gothic" w:eastAsia="Yu Gothic" w:hAnsi="Yu Gothic"/>
          <w:b/>
          <w:bCs/>
        </w:rPr>
        <w:t xml:space="preserve">第3部　必要書類チェックリスト</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c>
          <w:tcPr>
            <w:tcW w:type="pct" w:w="3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書類</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入手先</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留意</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状況</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GビズIDプライム登録・確認</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経済産業省</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オンライン申請の際に必須。事前登録（2-3週間）が必要。申請代理人の登録も確認。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準備済</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直近12期分決算書・確定申告書（税務署受付印済み）</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自社記帳</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申請時点で最新の確定申告書が必要。青色申告推奨。補助対象者要件の確認。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作成中</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事業計画書（5年間）・資金計画書</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自社＋認定支援機関</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付加価値額年率3%以上・給与支給総額年率1.5%以上を明記。計画の実現可能性が審査ポイント。</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作成中</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賃上げ表明書（事業場内最低賃金+30円以上の誓約）</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加点</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経済産業省フォーム</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採択後に従わない場合は補助金返納リスク。給与規程改訂の準備が必須。</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未着手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認定支援機関の事業計画確認書</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認定支援機関（税理士・中小企業診断士等）</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ものづくり補助金申請の必須要件。経営革新等支援機関による計画実効性確認。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作成中</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見積書・カタログ（機械装置3社以上、システム構築2社以上）</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設備メーカー・ベンダー</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交付決定前に複数見積を取得し、決定後に正式発注。見積有効期限を確認。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準備済</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労働者名簿・給与台帳（直近3ヶ月分）</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自社総務</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従業員数・雇用形態・給与実績を確認。賃上げ前後の給与改善実績を記録する準備。</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未着手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法人登記謄本・最新（履歴事項全部証明書）</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法務局</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申請時点で3ヶ月以内のもの。補助対象者要件（資本金・役員等）の確認。</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準備済</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経営革新計画書（都道府県の承認取得）</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加点</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自社＋都道府県経済産業部</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ものづくり補助金の加点要件。新製品・新技術・新サービスの革新性を立証。</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未着手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銀行の融資予定証明書（融資予定額の確認）</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加点</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地域金融機関</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自己資金と補助金の組み合わせ投資を実現。融資予定有無も加点対象。</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未着手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通帳コピー・入出金実績（申請前1ヶ月）</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任意</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自社銀行</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事業活動実績の補強資料。経営安定性の確認に活用。</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未着手</w:t>
            </w:r>
          </w:p>
        </w:tc>
      </w:tr>
      <w:tr>
        <w:tc>
          <w:tcPr>
            <w:tcW w:type="pct" w:w="34%"/>
            <w:tcMar>
              <w:top w:type="dxa" w:w="30"/>
              <w:left w:type="dxa" w:w="60"/>
              <w:bottom w:type="dxa" w:w="30"/>
              <w:right w:type="dxa" w:w="60"/>
            </w:tcMar>
          </w:tcPr>
          <w:p>
            <w:r>
              <w:rPr>
                <w:rFonts w:ascii="Yu Gothic" w:cs="Yu Gothic" w:eastAsia="Yu Gothic" w:hAnsi="Yu Gothic"/>
                <w:b w:val="false"/>
                <w:bCs w:val="false"/>
                <w:sz w:val="14"/>
                <w:szCs w:val="14"/>
              </w:rPr>
              <w:t xml:space="preserve">個人番号（マイナンバー）確認書</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必須</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代表者の運転免許証等</w:t>
            </w:r>
          </w:p>
        </w:tc>
        <w:tc>
          <w:tcPr>
            <w:tcW w:type="pct" w:w="26%"/>
            <w:tcMar>
              <w:top w:type="dxa" w:w="30"/>
              <w:left w:type="dxa" w:w="60"/>
              <w:bottom w:type="dxa" w:w="30"/>
              <w:right w:type="dxa" w:w="60"/>
            </w:tcMar>
          </w:tcPr>
          <w:p>
            <w:r>
              <w:rPr>
                <w:rFonts w:ascii="Yu Gothic" w:cs="Yu Gothic" w:eastAsia="Yu Gothic" w:hAnsi="Yu Gothic"/>
                <w:b w:val="false"/>
                <w:bCs w:val="false"/>
                <w:sz w:val="14"/>
                <w:szCs w:val="14"/>
              </w:rPr>
              <w:t xml:space="preserve">GビズID登録時に必要。本人確認書類の写し。</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準備済</w:t>
            </w:r>
          </w:p>
        </w:tc>
      </w:tr>
    </w:tbl>
    <w:p>
      <w:pPr>
        <w:pStyle w:val="Heading2"/>
        <w:spacing w:after="80" w:before="220"/>
      </w:pPr>
      <w:r>
        <w:rPr>
          <w:rFonts w:ascii="Yu Gothic" w:cs="Yu Gothic" w:eastAsia="Yu Gothic" w:hAnsi="Yu Gothic"/>
          <w:b/>
          <w:bCs/>
        </w:rPr>
        <w:t xml:space="preserve">第4部　申請スケジュール</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フェーズ</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時期</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作業</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担当</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留意</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フェーズ0：事前準備・制度理解</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申請前3ヶ月（1月～3月）</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①ものづくり補助金など公募要領を精読。②認定支援機関と契約。③GビズIDプライム登録。④現状分析：決算書・給与台帳・生産実績整理。</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経営者＋税理士＋診断士</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公募開始の1ヶ月前には準備完了。</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フェーズ1：事業計画書・申請書作成</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公募開始～申請締切（通常2-3ヶ月）</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①事業計画書ドラフト作成。②認定支援機関による精査・修正。③確認書作成。④相見積取得。⑤申請書記入・提出。</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企業側リーダー＋認定支援機関＋会計事務所</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認定支援機関との打ち合わせは週1回ペース。</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フェーズ2：採択発表・交付決定手続き</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申請後1-2ヶ月（採択発表）→交付決定通知書送付</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①採択可否確認（中小企業庁HP）。②交付申請手続き。③交付決定通知書受取。</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企業側（交付申請担当者）＋会計事務所</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採択されない場合は理由確認。採択時は直ちに設備発注へ。</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フェーズ3：事業実施・設備導入・人材育成</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交付決定日～補助事業期間終了日（通常12-18ヶ月）</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①交付決定通知書の内容確認。②設備発注・納品・検収・支払い。③システム導入・テスト。④従業員研修実施。⑤給与改善実行。⑥投資効果記録。</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経営者＋現場管理者＋人事総務＋会計事務所</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交付決定前の発注は補助対象外。3ヶ月ごとに進捗確認会議。</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フェーズ4：事業完了・実績報告準備</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補助事業期間終了日～完了報告提出期限（通常30日以内）</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①事業完了確認。②実績報告書作成。③経費根拠書類整理。④投資効果実績集計。⑤報告書一式提出。</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会計事務所（主導）＋企業側総務・経理</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実績報告の書類作成に15-20時間を要する。証憑は5年保管。</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フェーズ5：確定検査・精算・補助金交付</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実績報告提出後2-4ヶ月</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①補助金事務局による実績確認。②検査指摘対応。③補助金額確定。④本交付・銀行振込。</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補助金事務局＋企業側</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検査で不正指摘された場合は返納リスク。5年間財産処分制限。</w:t>
            </w:r>
          </w:p>
        </w:tc>
      </w:tr>
      <w:tr>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フェーズ6：フォローアップ・事後評価（5年間）</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補助金交付日～5年後</w:t>
            </w:r>
          </w:p>
        </w:tc>
        <w:tc>
          <w:tcPr>
            <w:tcW w:type="pct" w:w="40%"/>
            <w:tcMar>
              <w:top w:type="dxa" w:w="30"/>
              <w:left w:type="dxa" w:w="60"/>
              <w:bottom w:type="dxa" w:w="30"/>
              <w:right w:type="dxa" w:w="60"/>
            </w:tcMar>
          </w:tcPr>
          <w:p>
            <w:r>
              <w:rPr>
                <w:rFonts w:ascii="Yu Gothic" w:cs="Yu Gothic" w:eastAsia="Yu Gothic" w:hAnsi="Yu Gothic"/>
                <w:b w:val="false"/>
                <w:bCs w:val="false"/>
                <w:sz w:val="14"/>
                <w:szCs w:val="14"/>
              </w:rPr>
              <w:t xml:space="preserve">①年1回の実績報告。②財産処分制限遵守。③事業効果継続確認。④5年経過後の設備処分。</w:t>
            </w:r>
          </w:p>
        </w:tc>
        <w:tc>
          <w:tcPr>
            <w:tcW w:type="pct" w:w="14%"/>
            <w:tcMar>
              <w:top w:type="dxa" w:w="30"/>
              <w:left w:type="dxa" w:w="60"/>
              <w:bottom w:type="dxa" w:w="30"/>
              <w:right w:type="dxa" w:w="60"/>
            </w:tcMar>
          </w:tcPr>
          <w:p>
            <w:r>
              <w:rPr>
                <w:rFonts w:ascii="Yu Gothic" w:cs="Yu Gothic" w:eastAsia="Yu Gothic" w:hAnsi="Yu Gothic"/>
                <w:b w:val="false"/>
                <w:bCs w:val="false"/>
                <w:sz w:val="14"/>
                <w:szCs w:val="14"/>
              </w:rPr>
              <w:t xml:space="preserve">企業側＋会計事務所</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5年間実績不振で補助金返納のリスク。特に3-5年目追跡が重要。</w:t>
            </w:r>
          </w:p>
        </w:tc>
      </w:tr>
    </w:tbl>
    <w:p>
      <w:pPr>
        <w:pStyle w:val="Heading2"/>
        <w:spacing w:after="80" w:before="220"/>
      </w:pPr>
      <w:r>
        <w:rPr>
          <w:rFonts w:ascii="Yu Gothic" w:cs="Yu Gothic" w:eastAsia="Yu Gothic" w:hAnsi="Yu Gothic"/>
          <w:b/>
          <w:bCs/>
        </w:rPr>
        <w:t xml:space="preserve">総合所見</w:t>
      </w:r>
    </w:p>
    <w:p>
      <w:pPr>
        <w:spacing w:after="60"/>
      </w:pPr>
      <w:r>
        <w:rPr>
          <w:rFonts w:ascii="Yu Gothic" w:cs="Yu Gothic" w:eastAsia="Yu Gothic" w:hAnsi="Yu Gothic"/>
          <w:b w:val="false"/>
          <w:bCs w:val="false"/>
          <w:sz w:val="20"/>
          <w:szCs w:val="20"/>
        </w:rPr>
        <w:t xml:space="preserve">本申請支援パッケージにより、サンプル・ものづくり株式会社は賃上げと生産性向上を両立させるための設備投資を戦略的に進行させることができます。ものづくり補助金を軸に、小規模事業者持続化補助金やキャリアアップ助成金との併用により、経営課題の多角的な解決が実現します。重要な留意点は、交付決定前の発注禁止、適格な相見積の取得、実績報告書の正確な作成、そして事業完了後5年間の財産処分制限と補助金返納リスク管理です。本パッケージは書籍『改訂版 税理士のための\"中小企業の補助金\"申請支援マニュアル』（水谷翠著）および『あなたの会社がもらえる！補助金・助成金』（宮澤猛著）の実務知見に基づいており、採択率向上と合規性の確保を両立させる設計となっています。</w:t>
      </w:r>
    </w:p>
    <w:p>
      <w:pPr>
        <w:spacing w:after="60"/>
      </w:pPr>
      <w:r>
        <w:rPr>
          <w:rFonts w:ascii="Yu Gothic" w:cs="Yu Gothic" w:eastAsia="Yu Gothic" w:hAnsi="Yu Gothic"/>
          <w:b w:val="false"/>
          <w:bCs w:val="false"/>
          <w:color w:val="8A8170"/>
          <w:sz w:val="16"/>
          <w:szCs w:val="16"/>
        </w:rPr>
        <w:t xml:space="preserve">※ 制度内容・上限・補助率・要件・締切は公募回・年度で変わります。必ず最新の公募要領で確認してください。AI生成ドラフトは専門家（認定支援機関・会計士等）のレビューを前提とします。</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Yu Gothic" w:cs="Yu Gothic" w:eastAsia="Yu Gothic" w:hAnsi="Yu Gothic"/>
        <w:color w:val="8A8170"/>
        <w:sz w:val="14"/>
        <w:szCs w:val="14"/>
      </w:rPr>
      <w:t xml:space="preserve">BENTO（cpaai.jp）　</w:t>
    </w:r>
    <w:r>
      <w:rPr>
        <w:rFonts w:ascii="Yu Gothic" w:cs="Yu Gothic" w:eastAsia="Yu Gothic" w:hAnsi="Yu Gothic"/>
        <w:color w:val="8A8170"/>
        <w:sz w:val="14"/>
        <w:szCs w:val="14"/>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2026-07-03T07:33:36.399Z</dcterms:created>
  <dcterms:modified xsi:type="dcterms:W3CDTF">2026-07-03T07:33:36.399Z</dcterms:modified>
</cp:coreProperties>
</file>

<file path=docProps/custom.xml><?xml version="1.0" encoding="utf-8"?>
<Properties xmlns="http://schemas.openxmlformats.org/officeDocument/2006/custom-properties" xmlns:vt="http://schemas.openxmlformats.org/officeDocument/2006/docPropsVTypes"/>
</file>