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Yu Gothic" w:cs="Yu Gothic" w:eastAsia="Yu Gothic" w:hAnsi="Yu Gothic"/>
          <w:b/>
          <w:bCs/>
        </w:rPr>
        <w:t xml:space="preserve">サンプル精密工業株式会社　補助金・助成金 申請支援パッケージ</w:t>
      </w:r>
    </w:p>
    <w:p>
      <w:pPr>
        <w:spacing w:after="60"/>
      </w:pPr>
      <w:r>
        <w:rPr>
          <w:rFonts w:ascii="Yu Gothic" w:cs="Yu Gothic" w:eastAsia="Yu Gothic" w:hAnsi="Yu Gothic"/>
          <w:b w:val="false"/>
          <w:bCs w:val="false"/>
          <w:sz w:val="20"/>
          <w:szCs w:val="20"/>
        </w:rPr>
        <w:t xml:space="preserve">目的：既にFAと契約してM&amp;Aが進行中の中小製造業が、事業承継・M&amp;A補助金（16次公募）を使えるかを判定した診断。結論は『この案件では申請できない』。落ちた理由を費用ごとに示し、補助金を使うなら何をどの順番で行うべきだったかを残すことが目的。補助金の入口は金額ではなく時間軸（交付決定日と補助事業期間）にある。</w:t>
      </w:r>
    </w:p>
    <w:p>
      <w:pPr>
        <w:spacing w:after="60"/>
      </w:pPr>
      <w:r>
        <w:rPr>
          <w:rFonts w:ascii="Yu Gothic" w:cs="Yu Gothic" w:eastAsia="Yu Gothic" w:hAnsi="Yu Gothic"/>
          <w:b w:val="false"/>
          <w:bCs w:val="false"/>
          <w:sz w:val="18"/>
          <w:szCs w:val="18"/>
        </w:rPr>
        <w:t xml:space="preserve">対象範囲：対象会社＝サンプル精密工業株式会社（本社・第1工場：静岡県西部／連結従業員212名・資本金300百万円・2026年3月期 連結売上高7,900百万円）。制度は事業承継・M&amp;A補助金（16次公募・公募要領 Ver.1.0／2026年9月・中小企業庁 中小企業生産性革命推進事業）。申請受付は2026年10月2日（金）〜11月6日（金）17:00、補助事業期間は2027年1月（下旬予定）から14か月以内。判定日は2026年9月30日。　／　進め方：①枠と類型の該当性（4枠を全部当てて、外れる枠は外れる理由を書く）→②時期の要件（契約・発注が交付決定日以降か／基本合意・最終契約が補助事業期間内か）→③費用ごとの当てはめ（何が、いつの契約で、誰の負担か）→④仮に順番が正しければいくらだったか（逸失額の定量化）→⑤次に同じことをするときの順番と、申請時に必要な手当て（相見積・支払方法・証憑）→⑥会計・税務の取扱い。</w:t>
      </w:r>
    </w:p>
    <w:p>
      <w:pPr>
        <w:spacing w:after="60"/>
      </w:pPr>
      <w:r>
        <w:rPr>
          <w:rFonts w:ascii="Yu Gothic" w:cs="Yu Gothic" w:eastAsia="Yu Gothic" w:hAnsi="Yu Gothic"/>
          <w:b w:val="false"/>
          <w:bCs w:val="false"/>
          <w:color w:val="8A8170"/>
          <w:sz w:val="18"/>
          <w:szCs w:val="18"/>
        </w:rPr>
        <w:t xml:space="preserve">留意：本診断の制度情報は16次公募の公募要領（2026年9月・Ver.1.0）に基づく。補助率・上限額・対象経費・加点事由は公募回ごとに変わるため、次の案件では必ず最新の公募要領で引き直すこと。なお、補助金の申請書の作成を有償で代行できるのは行政書士（又は行政書士法人）に限られ、行政書士以外が有償で作成したことが判明した場合は交付決定が取り消される可能性がある。本資料は制度の当てはめ・経費の仕分け・証憑の設計を支援するものであり、申請書の作成・提出は申請者自身（又は行政書士）が行うこと。</w:t>
      </w:r>
    </w:p>
    <w:p>
      <w:pPr>
        <w:pStyle w:val="Heading2"/>
        <w:spacing w:after="80" w:before="220"/>
      </w:pPr>
      <w:r>
        <w:rPr>
          <w:rFonts w:ascii="Yu Gothic" w:cs="Yu Gothic" w:eastAsia="Yu Gothic" w:hAnsi="Yu Gothic"/>
          <w:b/>
          <w:bCs/>
        </w:rPr>
        <w:t xml:space="preserve">第1部　事業計画書ドラフト（重点案件：事業承継・M&amp;A補助金 専門家活用枠 売り手支援類型（Ⅱ型）（16次公募）＝本件は申請不可と判定）</w:t>
      </w:r>
    </w:p>
    <w:p>
      <w:pPr>
        <w:spacing w:after="60"/>
      </w:pPr>
      <w:r>
        <w:rPr>
          <w:rFonts w:ascii="Yu Gothic" w:cs="Yu Gothic" w:eastAsia="Yu Gothic" w:hAnsi="Yu Gothic"/>
          <w:b/>
          <w:bCs/>
          <w:sz w:val="20"/>
          <w:szCs w:val="20"/>
        </w:rPr>
        <w:t xml:space="preserve">【判定】進行中のM&amp;Aは16次公募に間に合わない — どこで落ちたか、次はどの順番か</w:t>
      </w:r>
    </w:p>
    <w:p>
      <w:pPr>
        <w:spacing w:after="60"/>
      </w:pPr>
      <w:r>
        <w:rPr>
          <w:rFonts w:ascii="Yu Gothic" w:cs="Yu Gothic" w:eastAsia="Yu Gothic" w:hAnsi="Yu Gothic"/>
          <w:b w:val="false"/>
          <w:bCs w:val="false"/>
          <w:color w:val="8A8170"/>
          <w:sz w:val="16"/>
          <w:szCs w:val="16"/>
        </w:rPr>
        <w:t xml:space="preserve">※ 実際の申請様式・章立て・字数制限は制度・公募回ごとに異なります。本ドラフトを土台に、必ず最新の公募要領・記載要領に合わせて再構成してください。</w:t>
      </w:r>
    </w:p>
    <w:p>
      <w:pPr>
        <w:pStyle w:val="Heading3"/>
        <w:spacing w:after="60" w:before="180"/>
      </w:pPr>
      <w:r>
        <w:rPr>
          <w:rFonts w:ascii="Yu Gothic" w:cs="Yu Gothic" w:eastAsia="Yu Gothic" w:hAnsi="Yu Gothic"/>
          <w:b/>
          <w:bCs/>
        </w:rPr>
        <w:t xml:space="preserve">① 事業概要（会社概要・沿革・強み）</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2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項目</w:t>
            </w:r>
          </w:p>
        </w:tc>
        <w:tc>
          <w:tcPr>
            <w:tcW w:type="pct" w:w="7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内容</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会社名</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サンプル精密工業株式会社</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所在地・設立・代表者</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（記入）</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資本金・従業員数</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（記入：中小企業者等の要件確認に使用）</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事業内容</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（記入：主要製品・サービス、主要取引先）</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沿革・実績</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（記入：受賞歴・認証取得・技術実績など信頼性を示す事実）</w:t>
            </w:r>
          </w:p>
        </w:tc>
      </w:tr>
      <w:tr>
        <w:tc>
          <w:tcPr>
            <w:tcW w:type="pct" w:w="24%"/>
            <w:tcMar>
              <w:top w:type="dxa" w:w="30"/>
              <w:left w:type="dxa" w:w="60"/>
              <w:bottom w:type="dxa" w:w="30"/>
              <w:right w:type="dxa" w:w="60"/>
            </w:tcMar>
          </w:tcPr>
          <w:p>
            <w:r>
              <w:rPr>
                <w:rFonts w:ascii="Yu Gothic" w:cs="Yu Gothic" w:eastAsia="Yu Gothic" w:hAnsi="Yu Gothic"/>
                <w:b w:val="false"/>
                <w:bCs w:val="false"/>
                <w:sz w:val="14"/>
                <w:szCs w:val="14"/>
              </w:rPr>
              <w:t xml:space="preserve">自社の強み</w:t>
            </w:r>
          </w:p>
        </w:tc>
        <w:tc>
          <w:tcPr>
            <w:tcW w:type="pct" w:w="76%"/>
            <w:tcMar>
              <w:top w:type="dxa" w:w="30"/>
              <w:left w:type="dxa" w:w="60"/>
              <w:bottom w:type="dxa" w:w="30"/>
              <w:right w:type="dxa" w:w="60"/>
            </w:tcMar>
          </w:tcPr>
          <w:p>
            <w:r>
              <w:rPr>
                <w:rFonts w:ascii="Yu Gothic" w:cs="Yu Gothic" w:eastAsia="Yu Gothic" w:hAnsi="Yu Gothic"/>
                <w:b w:val="false"/>
                <w:bCs w:val="false"/>
                <w:sz w:val="14"/>
                <w:szCs w:val="14"/>
              </w:rPr>
              <w:t xml:space="preserve">（記入：技術・人材・顧客基盤など。③の実施体制・実現可能性の裏付けになるものを）</w:t>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・冒頭で、制度の政策目的（生産性向上・賃上げ・DX/GXなど）と自社の取組の合致を一文で明示する。審査は「政策目的に沿う事業か」から始まる。</w:t>
            </w:r>
          </w:p>
          <w:p>
            <w:pPr>
              <w:spacing w:after="30"/>
            </w:pPr>
            <w:r>
              <w:rPr>
                <w:rFonts w:ascii="Yu Gothic" w:cs="Yu Gothic" w:eastAsia="Yu Gothic" w:hAnsi="Yu Gothic"/>
                <w:color w:val="4A4436"/>
                <w:sz w:val="16"/>
                <w:szCs w:val="16"/>
              </w:rPr>
              <w:t xml:space="preserve">・強みは自慢話ではなく、③の取組を「この会社ならやり切れる」と示す実現可能性の根拠として書く。</w:t>
            </w:r>
          </w:p>
        </w:tc>
      </w:tr>
    </w:tbl>
    <w:p>
      <w:pPr>
        <w:pStyle w:val="Heading3"/>
        <w:spacing w:after="60" w:before="180"/>
      </w:pPr>
      <w:r>
        <w:rPr>
          <w:rFonts w:ascii="Yu Gothic" w:cs="Yu Gothic" w:eastAsia="Yu Gothic" w:hAnsi="Yu Gothic"/>
          <w:b/>
          <w:bCs/>
        </w:rPr>
        <w:t xml:space="preserve">② 現状の課題と背景（数値根拠）</w:t>
      </w:r>
    </w:p>
    <w:p>
      <w:pPr>
        <w:spacing w:after="60"/>
      </w:pPr>
      <w:r>
        <w:rPr>
          <w:rFonts w:ascii="Yu Gothic" w:cs="Yu Gothic" w:eastAsia="Yu Gothic" w:hAnsi="Yu Gothic"/>
          <w:b w:val="false"/>
          <w:bCs w:val="false"/>
          <w:sz w:val="20"/>
          <w:szCs w:val="20"/>
        </w:rPr>
        <w:t xml:space="preserve">当社（連結従業員212名・資本金300百万円・2026年3月期 連結売上高7,900百万円・営業利益339百万円）は、代表取締役社長（68歳）に親族内の後継者がなく、第三者への株式譲渡を進めている。M&amp;Aの進捗は、株式価値算定書の入手が2026年5月29日に完了、ノンネームでの打診が6月30日に完了、企業概要書（IM）の開示が7月15日から進行中、最終契約の締結予定が2026年12月25日、クロージング予定が2027年3月31日。専門家費用はFA・仲介を中心に19,300千円を見込んでいる。</w:t>
      </w:r>
    </w:p>
    <w:p>
      <w:pPr>
        <w:spacing w:after="60"/>
      </w:pPr>
      <w:r>
        <w:rPr>
          <w:rFonts w:ascii="Yu Gothic" w:cs="Yu Gothic" w:eastAsia="Yu Gothic" w:hAnsi="Yu Gothic"/>
          <w:b/>
          <w:bCs/>
          <w:sz w:val="18"/>
          <w:szCs w:val="18"/>
        </w:rPr>
        <w:t xml:space="preserve">課題の数値根拠（定量で裏付ける）</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3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指標</w:t>
            </w:r>
          </w:p>
        </w:tc>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現状値</w:t>
            </w:r>
          </w:p>
        </w:tc>
        <w:tc>
          <w:tcPr>
            <w:tcW w:type="pct" w:w="4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出所・根拠資料</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（例）月間残業時間・不良率・生産リードタイム 等</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（記入）</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（記入：勤怠記録・原価資料・生産日報 等）</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（例）付加価値額・労働生産性の推移</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（記入）</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（記入：決算書より算定）</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・課題→解決策→効果の因果を、数値で一本の線としてつなぐ。②で示した課題の数値が、④の効果の数値に対応していること。</w:t>
            </w:r>
          </w:p>
          <w:p>
            <w:pPr>
              <w:spacing w:after="30"/>
            </w:pPr>
            <w:r>
              <w:rPr>
                <w:rFonts w:ascii="Yu Gothic" w:cs="Yu Gothic" w:eastAsia="Yu Gothic" w:hAnsi="Yu Gothic"/>
                <w:color w:val="4A4436"/>
                <w:sz w:val="16"/>
                <w:szCs w:val="16"/>
              </w:rPr>
              <w:t xml:space="preserve">・「人手不足」「競争激化」等の一般論で終わらせず、自社固有のデータ（決算書・勤怠・生産記録）で示す。</w:t>
            </w:r>
          </w:p>
        </w:tc>
      </w:tr>
    </w:tbl>
    <w:p>
      <w:pPr>
        <w:pStyle w:val="Heading3"/>
        <w:spacing w:after="60" w:before="180"/>
      </w:pPr>
      <w:r>
        <w:rPr>
          <w:rFonts w:ascii="Yu Gothic" w:cs="Yu Gothic" w:eastAsia="Yu Gothic" w:hAnsi="Yu Gothic"/>
          <w:b/>
          <w:bCs/>
        </w:rPr>
        <w:t xml:space="preserve">③ 補助事業の内容（取組・導入設備／システム・実施体制・スケジュール）</w:t>
      </w:r>
    </w:p>
    <w:p>
      <w:pPr>
        <w:spacing w:after="60"/>
      </w:pPr>
      <w:r>
        <w:rPr>
          <w:rFonts w:ascii="Yu Gothic" w:cs="Yu Gothic" w:eastAsia="Yu Gothic" w:hAnsi="Yu Gothic"/>
          <w:b/>
          <w:bCs/>
          <w:sz w:val="18"/>
          <w:szCs w:val="18"/>
        </w:rPr>
        <w:t xml:space="preserve">取組内容</w:t>
      </w:r>
    </w:p>
    <w:p>
      <w:pPr>
        <w:spacing w:after="60"/>
      </w:pPr>
      <w:r>
        <w:rPr>
          <w:rFonts w:ascii="Yu Gothic" w:cs="Yu Gothic" w:eastAsia="Yu Gothic" w:hAnsi="Yu Gothic"/>
          <w:b w:val="false"/>
          <w:bCs w:val="false"/>
          <w:sz w:val="20"/>
          <w:szCs w:val="20"/>
        </w:rPr>
        <w:t xml:space="preserve">16次公募への当てはめを、時期の要件から順に行った。（1）補助事業期間は2027年1月（下旬予定）から14か月以内であり、補助対象経費は交付決定日以降かつ補助事業期間内に契約・発注し、支払いまで同期間内に終えたものに限られる。当社のFAとの契約・株式価値算定・IM作成支援はいずれも2026年5〜7月に契約・完了しており、交付決定（2027年1月下旬予定）より前である。（2）中間報酬・成功報酬は、補助事業期間内に基本合意書または最終契約書が締結されることが前提だが、最終契約の予定は2026年12月25日で補助事業期間の開始前である。（3）したがって、専門家費用のうち補助対象になるものは無い。</w:t>
      </w:r>
    </w:p>
    <w:p>
      <w:pPr>
        <w:spacing w:after="60"/>
      </w:pPr>
      <w:r>
        <w:rPr>
          <w:rFonts w:ascii="Yu Gothic" w:cs="Yu Gothic" w:eastAsia="Yu Gothic" w:hAnsi="Yu Gothic"/>
          <w:b w:val="false"/>
          <w:bCs w:val="false"/>
          <w:sz w:val="18"/>
          <w:szCs w:val="18"/>
        </w:rPr>
        <w:t xml:space="preserve">投資の概要：見込んでいる専門家費用は19,300千円（委託費＝FAの着手金・中間報酬・成功報酬10,000千円／委託費＝株式価値算定1,200千円／委託費＝企業概要書の作成支援800千円／委託費＝法務・税務の助言500千円／旅費200千円／システム利用料300千円／保険料＝売り手手配の表明保証保険1,500千円／委託費＝セルサイドDD4,000千円／株主個人の譲渡所得の申告報酬800千円）。このうち16次公募で補助対象になる金額は0円。</w:t>
      </w:r>
    </w:p>
    <w:p>
      <w:pPr>
        <w:spacing w:after="60"/>
      </w:pPr>
      <w:r>
        <w:rPr>
          <w:rFonts w:ascii="Yu Gothic" w:cs="Yu Gothic" w:eastAsia="Yu Gothic" w:hAnsi="Yu Gothic"/>
          <w:b/>
          <w:bCs/>
          <w:sz w:val="18"/>
          <w:szCs w:val="18"/>
        </w:rPr>
        <w:t xml:space="preserve">導入する設備・システム（補助対象経費）</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3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導入設備・システム</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金額</w:t>
            </w:r>
          </w:p>
        </w:tc>
        <w:tc>
          <w:tcPr>
            <w:tcW w:type="pct" w:w="5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目的・課題解決への寄与</w:t>
            </w:r>
          </w:p>
        </w:tc>
      </w:tr>
    </w:tbl>
    <w:p>
      <w:pPr>
        <w:spacing w:after="60"/>
      </w:pPr>
      <w:r>
        <w:rPr>
          <w:rFonts w:ascii="Yu Gothic" w:cs="Yu Gothic" w:eastAsia="Yu Gothic" w:hAnsi="Yu Gothic"/>
          <w:b/>
          <w:bCs/>
          <w:sz w:val="18"/>
          <w:szCs w:val="18"/>
        </w:rPr>
        <w:t xml:space="preserve">実施体制</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役割</w:t>
            </w:r>
          </w:p>
        </w:tc>
        <w:tc>
          <w:tcPr>
            <w:tcW w:type="pct" w:w="3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氏名・所属（記入）</w:t>
            </w:r>
          </w:p>
        </w:tc>
        <w:tc>
          <w:tcPr>
            <w:tcW w:type="pct" w:w="4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担当業務（記入）</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統括責任者</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実務担当（現場・経理）</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外部支援（認定支援機関・ベンダー等）</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
            </w:r>
          </w:p>
        </w:tc>
      </w:tr>
    </w:tbl>
    <w:p>
      <w:pPr>
        <w:spacing w:after="60"/>
      </w:pPr>
      <w:r>
        <w:rPr>
          <w:rFonts w:ascii="Yu Gothic" w:cs="Yu Gothic" w:eastAsia="Yu Gothic" w:hAnsi="Yu Gothic"/>
          <w:b/>
          <w:bCs/>
          <w:sz w:val="18"/>
          <w:szCs w:val="18"/>
        </w:rPr>
        <w:t xml:space="preserve">実施スケジュール（概要）</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tblGrid>
      <w:tr>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フェーズ</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時期</w:t>
            </w:r>
          </w:p>
        </w:tc>
        <w:tc>
          <w:tcPr>
            <w:tcW w:type="pct" w:w="5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主な作業</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実際に起きたこと① 価値算定・株主の意思確認</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2026年4月〜6月上旬</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株式価値算定書の入手（2026-05-29 完了）、連結決算パッケージの作成、株主間の意思確認（2026-06-05 完了）。</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実際に起きたこと② FAとの契約・打診</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2026年6月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FAと契約し、ノンネームシートの作成と買い手候補への打診（2026-06-30 完了）。</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実際に起きたこと③ 開示・面談・セルサイドDD</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2026年7月〜9月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秘密保持契約の締結、企業概要書（IM）の開示、マネジメント面談、セルサイドDDの実施。</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判定（本診断）</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2026年9月30日</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16次公募（受付 2026年10月2日〜11月6日17:00）への当てはめ。4つの枠を全部当て、時期の要件で申請不可と判定。</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このまま進める場合</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2026年10月〜2027年3月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意向表明の受領、買い手候補の選定、DD対応、最終契約（2026-12-25 予定）、クロージング（2027-03-31 予定）。</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次に同じことをするとき</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案件の検討を始めた月</w:t>
            </w:r>
          </w:p>
        </w:tc>
        <w:tc>
          <w:tcPr>
            <w:tcW w:type="pct" w:w="52%"/>
            <w:tcMar>
              <w:top w:type="dxa" w:w="30"/>
              <w:left w:type="dxa" w:w="60"/>
              <w:bottom w:type="dxa" w:w="30"/>
              <w:right w:type="dxa" w:w="60"/>
            </w:tcMar>
          </w:tcPr>
          <w:p>
            <w:r>
              <w:rPr>
                <w:rFonts w:ascii="Yu Gothic" w:cs="Yu Gothic" w:eastAsia="Yu Gothic" w:hAnsi="Yu Gothic"/>
                <w:b w:val="false"/>
                <w:bCs w:val="false"/>
                <w:sz w:val="14"/>
                <w:szCs w:val="14"/>
              </w:rPr>
              <w:t xml:space="preserve">公募要領の確認→GビズID→相見積→申請→採択・交付決定→交付決定日以降にFAと契約→補助事業期間内に基本合意・最終契約・クロージング→実績報告。</w:t>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・実現可能性（体制・スケジュール・技術面の裏付け）が審査の柱。「誰が・いつ・何を」を具体に書く。</w:t>
            </w:r>
          </w:p>
          <w:p>
            <w:pPr>
              <w:spacing w:after="30"/>
            </w:pPr>
            <w:r>
              <w:rPr>
                <w:rFonts w:ascii="Yu Gothic" w:cs="Yu Gothic" w:eastAsia="Yu Gothic" w:hAnsi="Yu Gothic"/>
                <w:color w:val="4A4436"/>
                <w:sz w:val="16"/>
                <w:szCs w:val="16"/>
              </w:rPr>
              <w:t xml:space="preserve">・交付決定前の発注・契約・支払は補助対象外。スケジュールは交付決定を起点に組む。</w:t>
            </w:r>
          </w:p>
          <w:p>
            <w:pPr>
              <w:spacing w:after="30"/>
            </w:pPr>
            <w:r>
              <w:rPr>
                <w:rFonts w:ascii="Yu Gothic" w:cs="Yu Gothic" w:eastAsia="Yu Gothic" w:hAnsi="Yu Gothic"/>
                <w:color w:val="4A4436"/>
                <w:sz w:val="16"/>
                <w:szCs w:val="16"/>
              </w:rPr>
              <w:t xml:space="preserve">・価格の妥当性は相見積で示す（機械装置等は複数社見積が求められる制度が多い）。</w:t>
            </w:r>
          </w:p>
        </w:tc>
      </w:tr>
    </w:tbl>
    <w:p>
      <w:pPr>
        <w:pStyle w:val="Heading3"/>
        <w:spacing w:after="60" w:before="180"/>
      </w:pPr>
      <w:r>
        <w:rPr>
          <w:rFonts w:ascii="Yu Gothic" w:cs="Yu Gothic" w:eastAsia="Yu Gothic" w:hAnsi="Yu Gothic"/>
          <w:b/>
          <w:bCs/>
        </w:rPr>
        <w:t xml:space="preserve">④ 事業の効果（売上・付加価値額の計画：3〜5年）</w:t>
      </w:r>
    </w:p>
    <w:p>
      <w:pPr>
        <w:spacing w:after="60"/>
      </w:pPr>
      <w:r>
        <w:rPr>
          <w:rFonts w:ascii="Yu Gothic" w:cs="Yu Gothic" w:eastAsia="Yu Gothic" w:hAnsi="Yu Gothic"/>
          <w:b w:val="false"/>
          <w:bCs w:val="false"/>
          <w:sz w:val="20"/>
          <w:szCs w:val="20"/>
        </w:rPr>
        <w:t xml:space="preserve">仮に交付決定後に契約していれば、補助対象経費は18,500千円（株主個人の申告報酬800千円を除く）で、補助率1/2を掛けると9,250千円。補助上限は事業費600万円＋DD実施の上乗せ200万円＝合計8,000千円（うちDD分は補助額ベースで200万円以内＝DD費用4,000千円×1/2＝2,000千円で収まる）であるため、補助額は8,000千円だった。すなわち、順番を誤ったことによる逸失は8,000千円。専門家費用に対する軽減率は、補助対象経費18,500千円ベースで約43%、株主個人の負担分を含む総支出19,300千円ベースで約41%だった。</w:t>
      </w:r>
    </w:p>
    <w:p>
      <w:pPr>
        <w:spacing w:after="60"/>
      </w:pPr>
      <w:r>
        <w:rPr>
          <w:rFonts w:ascii="Yu Gothic" w:cs="Yu Gothic" w:eastAsia="Yu Gothic" w:hAnsi="Yu Gothic"/>
          <w:b w:val="false"/>
          <w:bCs w:val="false"/>
          <w:sz w:val="18"/>
          <w:szCs w:val="18"/>
        </w:rPr>
        <w:t xml:space="preserve">数値目標：【次の案件での順番】①公募要領で枠と類型・補助率・上限を確認→②GビズIDプライムを取得（発行に1週間程度、混雑時は3週間程度）→③相見積を取得（外注費・委託費・システム利用料・保険料は1件50万円未満でも原則必須。選定理由書は相見積の代替として必ずしも認められない）→④申請→⑤採択・交付決定→⑥交付決定日以降にFAと契約→⑦補助事業期間内に基本合意・最終契約・クロージング→⑧実績報告（支払は補助事業者名義の口座からの銀行振込またはクレジットカード1回払いのみが対象）。この⑥を先にやったことが、本件で補助金を失った唯一の理由である。</w:t>
      </w:r>
    </w:p>
    <w:p>
      <w:pPr>
        <w:spacing w:after="60"/>
      </w:pPr>
      <w:r>
        <w:rPr>
          <w:rFonts w:ascii="Yu Gothic" w:cs="Yu Gothic" w:eastAsia="Yu Gothic" w:hAnsi="Yu Gothic"/>
          <w:b/>
          <w:bCs/>
          <w:sz w:val="18"/>
          <w:szCs w:val="18"/>
        </w:rPr>
        <w:t xml:space="preserve">収益・付加価値額 計画表（基準年度＋5年）</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gridCol w:w="100"/>
        <w:gridCol w:w="100"/>
      </w:tblGrid>
      <w:tr>
        <w:tc>
          <w:tcPr>
            <w:tcW w:type="pct" w:w="2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指標</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基準年度</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1年目</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2年目</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3年目</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4年目</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5年目</w:t>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売上高</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営業利益</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人件費（給与支給総額）</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減価償却費</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付加価値額（＝営業利益＋人件費＋減価償却費）</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付加価値額 伸び率（年率）</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28%"/>
            <w:tcMar>
              <w:top w:type="dxa" w:w="30"/>
              <w:left w:type="dxa" w:w="60"/>
              <w:bottom w:type="dxa" w:w="30"/>
              <w:right w:type="dxa" w:w="60"/>
            </w:tcMar>
          </w:tcPr>
          <w:p>
            <w:r>
              <w:rPr>
                <w:rFonts w:ascii="Yu Gothic" w:cs="Yu Gothic" w:eastAsia="Yu Gothic" w:hAnsi="Yu Gothic"/>
                <w:b w:val="false"/>
                <w:bCs w:val="false"/>
                <w:sz w:val="14"/>
                <w:szCs w:val="14"/>
              </w:rPr>
              <w:t xml:space="preserve">事業場内最低賃金</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
            </w:r>
          </w:p>
        </w:tc>
      </w:tr>
    </w:tbl>
    <w:p>
      <w:pPr>
        <w:spacing w:after="60"/>
      </w:pPr>
      <w:r>
        <w:rPr>
          <w:rFonts w:ascii="Yu Gothic" w:cs="Yu Gothic" w:eastAsia="Yu Gothic" w:hAnsi="Yu Gothic"/>
          <w:b/>
          <w:bCs/>
          <w:sz w:val="18"/>
          <w:szCs w:val="18"/>
        </w:rPr>
        <w:t xml:space="preserve">算定根拠（単価×数量・稼働率・工数削減時間×時給換算など、積み上げの算式で記載）</w:t>
      </w:r>
    </w:p>
    <w:p>
      <w:pPr>
        <w:spacing w:after="60"/>
      </w:pPr>
      <w:r>
        <w:rPr>
          <w:rFonts w:ascii="Yu Gothic" w:cs="Yu Gothic" w:eastAsia="Yu Gothic" w:hAnsi="Yu Gothic"/>
          <w:b w:val="false"/>
          <w:bCs w:val="false"/>
          <w:color w:val="8A8170"/>
          <w:sz w:val="20"/>
          <w:szCs w:val="20"/>
        </w:rPr>
        <w:t xml:space="preserve">（記入）</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付加価値額（＝営業利益＋人件費＋減価償却費）や給与支給総額の年率成長が要件・目標として課される制度が多い。定義と算式を明記し、要件水準との整合を確認する（具体的な要件水準は公募要領で最新要件を確認）。</w:t>
            </w:r>
          </w:p>
          <w:p>
            <w:pPr>
              <w:spacing w:after="30"/>
            </w:pPr>
            <w:r>
              <w:rPr>
                <w:rFonts w:ascii="Yu Gothic" w:cs="Yu Gothic" w:eastAsia="Yu Gothic" w:hAnsi="Yu Gothic"/>
                <w:color w:val="4A4436"/>
                <w:sz w:val="16"/>
                <w:szCs w:val="16"/>
              </w:rPr>
              <w:t xml:space="preserve">・効果は投資額との対比（費用対効果）で妥当性を示す。過大な計画はかえって実現可能性を疑われる。</w:t>
            </w:r>
          </w:p>
          <w:p>
            <w:pPr>
              <w:spacing w:after="30"/>
            </w:pPr>
            <w:r>
              <w:rPr>
                <w:rFonts w:ascii="Yu Gothic" w:cs="Yu Gothic" w:eastAsia="Yu Gothic" w:hAnsi="Yu Gothic"/>
                <w:color w:val="4A4436"/>
                <w:sz w:val="16"/>
                <w:szCs w:val="16"/>
              </w:rPr>
              <w:t xml:space="preserve">・効果の数値は②の課題の数値と対応させ、達成時期・測定方法まで書く。</w:t>
            </w:r>
          </w:p>
        </w:tc>
      </w:tr>
    </w:tbl>
    <w:p>
      <w:pPr>
        <w:pStyle w:val="Heading3"/>
        <w:spacing w:after="60" w:before="180"/>
      </w:pPr>
      <w:r>
        <w:rPr>
          <w:rFonts w:ascii="Yu Gothic" w:cs="Yu Gothic" w:eastAsia="Yu Gothic" w:hAnsi="Yu Gothic"/>
          <w:b/>
          <w:bCs/>
        </w:rPr>
        <w:t xml:space="preserve">⑤ 資金計画（調達内訳）</w:t>
      </w:r>
    </w:p>
    <w:p>
      <w:pPr>
        <w:spacing w:after="60"/>
      </w:pPr>
      <w:r>
        <w:rPr>
          <w:rFonts w:ascii="Yu Gothic" w:cs="Yu Gothic" w:eastAsia="Yu Gothic" w:hAnsi="Yu Gothic"/>
          <w:b/>
          <w:bCs/>
          <w:sz w:val="18"/>
          <w:szCs w:val="18"/>
        </w:rPr>
        <w:t xml:space="preserve">経費明細（補助対象・補助額・自己負担）</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3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経費項目</w:t>
            </w:r>
          </w:p>
        </w:tc>
        <w:tc>
          <w:tcPr>
            <w:tcW w:type="pct" w:w="1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経費額</w:t>
            </w:r>
          </w:p>
        </w:tc>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補助額</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自己負担</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委託費（登録FAの着手金・中間報酬・成功報酬）</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10,000,000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10,000,000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委託費（株式価値算定）</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1,200,000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1,200,000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委託費（企業概要書（IM）の作成支援）</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800,000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800,000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委託費（法務・税務の助言）</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500,000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500,000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旅費（買い手候補との面談・工場見学の対応）</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200,000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システム利用料（M&amp;Aマッチングサイトの登録料・利用料）</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300,000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300,000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保険料（売り手手配の表明保証保険）</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1,500,000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1,500,000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委託費（セルサイドDD＝財務・税務・法務の事前調査）</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4,000,000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4,000,000</w:t>
            </w:r>
          </w:p>
        </w:tc>
      </w:tr>
      <w:tr>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株主個人の譲渡所得に係る申告報酬</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補助対象外</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800,000</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0</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800,000</w:t>
            </w:r>
          </w:p>
        </w:tc>
      </w:tr>
    </w:tbl>
    <w:p>
      <w:pPr>
        <w:spacing w:after="60"/>
      </w:pPr>
      <w:r>
        <w:rPr>
          <w:rFonts w:ascii="Yu Gothic" w:cs="Yu Gothic" w:eastAsia="Yu Gothic" w:hAnsi="Yu Gothic"/>
          <w:b/>
          <w:bCs/>
          <w:sz w:val="18"/>
          <w:szCs w:val="18"/>
        </w:rPr>
        <w:t xml:space="preserve">調達内訳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3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項目</w:t>
            </w:r>
          </w:p>
        </w:tc>
        <w:tc>
          <w:tcPr>
            <w:tcW w:type="pct" w:w="6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内容</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総事業費（経費合計）</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19,300,000円</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うち補助金（見込・精算払＝後払い）</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0円</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自己資金</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（記入：直近の預金残高等、裏付けとともに）</w:t>
            </w:r>
          </w:p>
        </w:tc>
      </w:tr>
      <w:tr>
        <w:tc>
          <w:tcPr>
            <w:tcW w:type="pct" w:w="38%"/>
            <w:tcMar>
              <w:top w:type="dxa" w:w="30"/>
              <w:left w:type="dxa" w:w="60"/>
              <w:bottom w:type="dxa" w:w="30"/>
              <w:right w:type="dxa" w:w="60"/>
            </w:tcMar>
          </w:tcPr>
          <w:p>
            <w:r>
              <w:rPr>
                <w:rFonts w:ascii="Yu Gothic" w:cs="Yu Gothic" w:eastAsia="Yu Gothic" w:hAnsi="Yu Gothic"/>
                <w:b w:val="false"/>
                <w:bCs w:val="false"/>
                <w:sz w:val="14"/>
                <w:szCs w:val="14"/>
              </w:rPr>
              <w:t xml:space="preserve">借入金（つなぎ融資含む）</w:t>
            </w:r>
          </w:p>
        </w:tc>
        <w:tc>
          <w:tcPr>
            <w:tcW w:type="pct" w:w="62%"/>
            <w:tcMar>
              <w:top w:type="dxa" w:w="30"/>
              <w:left w:type="dxa" w:w="60"/>
              <w:bottom w:type="dxa" w:w="30"/>
              <w:right w:type="dxa" w:w="60"/>
            </w:tcMar>
          </w:tcPr>
          <w:p>
            <w:r>
              <w:rPr>
                <w:rFonts w:ascii="Yu Gothic" w:cs="Yu Gothic" w:eastAsia="Yu Gothic" w:hAnsi="Yu Gothic"/>
                <w:b w:val="false"/>
                <w:bCs w:val="false"/>
                <w:sz w:val="14"/>
                <w:szCs w:val="14"/>
              </w:rPr>
              <w:t xml:space="preserve">（記入：金融機関名・融資予定額・協議状況）</w:t>
            </w:r>
          </w:p>
        </w:tc>
      </w:tr>
    </w:tbl>
    <w:p>
      <w:pPr>
        <w:spacing w:after="60"/>
      </w:pPr>
      <w:r>
        <w:rPr>
          <w:rFonts w:ascii="Yu Gothic" w:cs="Yu Gothic" w:eastAsia="Yu Gothic" w:hAnsi="Yu Gothic"/>
          <w:b w:val="false"/>
          <w:bCs w:val="false"/>
          <w:color w:val="8A8170"/>
          <w:sz w:val="16"/>
          <w:szCs w:val="16"/>
        </w:rPr>
        <w:t xml:space="preserve">※ 補助金は後払い（精算払）。事業実施中は経費全額の立替が必要です（Excel「資金繰り」シートでピーク自己資金所要額を確認）。</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・資金調達の確実性を示す（自己資金の残高資料・金融機関の融資証明等）。資金計画の破綻は不採択・採択後辞退の典型要因。</w:t>
            </w:r>
          </w:p>
          <w:p>
            <w:pPr>
              <w:spacing w:after="30"/>
            </w:pPr>
            <w:r>
              <w:rPr>
                <w:rFonts w:ascii="Yu Gothic" w:cs="Yu Gothic" w:eastAsia="Yu Gothic" w:hAnsi="Yu Gothic"/>
                <w:color w:val="4A4436"/>
                <w:sz w:val="16"/>
                <w:szCs w:val="16"/>
              </w:rPr>
              <w:t xml:space="preserve">・補助金入金までの立替期間を含めた、つなぎ資金まで計画する。</w:t>
            </w:r>
          </w:p>
        </w:tc>
      </w:tr>
    </w:tbl>
    <w:p>
      <w:pPr>
        <w:pStyle w:val="Heading3"/>
        <w:spacing w:after="60" w:before="180"/>
      </w:pPr>
      <w:r>
        <w:rPr>
          <w:rFonts w:ascii="Yu Gothic" w:cs="Yu Gothic" w:eastAsia="Yu Gothic" w:hAnsi="Yu Gothic"/>
          <w:b/>
          <w:bCs/>
        </w:rPr>
        <w:t xml:space="preserve">⑥ 加点項目への対応</w:t>
      </w:r>
    </w:p>
    <w:p>
      <w:pPr>
        <w:spacing w:after="60"/>
      </w:pPr>
      <w:r>
        <w:rPr>
          <w:rFonts w:ascii="Yu Gothic" w:cs="Yu Gothic" w:eastAsia="Yu Gothic" w:hAnsi="Yu Gothic"/>
          <w:b w:val="false"/>
          <w:bCs w:val="false"/>
          <w:sz w:val="20"/>
          <w:szCs w:val="20"/>
        </w:rPr>
        <w:t xml:space="preserve">加点事由のうち当社が取れるのは、中小企業の会計に関する指針の適用（顧問会計専門家の押印があるチェックリストで証する）。賃上げ加点は、売り手の場合『M&amp;A以降も買い手等により賃上げが実施されることの合意を得たうえでの誓約書』を含む3点を公募申請時に提出する必要があり、買い手が特定されていない申請時点では成立しないため、本件では取得できない（買い手候補の選定が終わった段階で基本合意に賃上げの継続を織り込めば、次の公募回では取りうる）。</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4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代表的な加点項目</w:t>
            </w:r>
          </w:p>
        </w:tc>
        <w:tc>
          <w:tcPr>
            <w:tcW w:type="pct" w:w="5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該当・対応状況（記入）</w:t>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賃上げの表明（事業場内最低賃金・給与支給総額の引上げ）</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事業継続力強化計画（BCP）の認定</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経営革新計画・先端設備等導入計画等の承認</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GX・DXに関する取組</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くるみん・えるぼし等の認定（女性活躍・子育て支援）</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
            </w:r>
          </w:p>
        </w:tc>
      </w:tr>
      <w:tr>
        <w:tc>
          <w:tcPr>
            <w:tcW w:type="pct" w:w="44%"/>
            <w:tcMar>
              <w:top w:type="dxa" w:w="30"/>
              <w:left w:type="dxa" w:w="60"/>
              <w:bottom w:type="dxa" w:w="30"/>
              <w:right w:type="dxa" w:w="60"/>
            </w:tcMar>
          </w:tcPr>
          <w:p>
            <w:r>
              <w:rPr>
                <w:rFonts w:ascii="Yu Gothic" w:cs="Yu Gothic" w:eastAsia="Yu Gothic" w:hAnsi="Yu Gothic"/>
                <w:b w:val="false"/>
                <w:bCs w:val="false"/>
                <w:sz w:val="14"/>
                <w:szCs w:val="14"/>
              </w:rPr>
              <w:t xml:space="preserve">（本件の加点書類）中小企業の会計に関する指針のチェックリスト</w:t>
            </w:r>
          </w:p>
        </w:tc>
        <w:tc>
          <w:tcPr>
            <w:tcW w:type="pct" w:w="56%"/>
            <w:tcMar>
              <w:top w:type="dxa" w:w="30"/>
              <w:left w:type="dxa" w:w="60"/>
              <w:bottom w:type="dxa" w:w="30"/>
              <w:right w:type="dxa" w:w="60"/>
            </w:tcMar>
          </w:tcPr>
          <w:p>
            <w:r>
              <w:rPr>
                <w:rFonts w:ascii="Yu Gothic" w:cs="Yu Gothic" w:eastAsia="Yu Gothic" w:hAnsi="Yu Gothic"/>
                <w:b w:val="false"/>
                <w:bCs w:val="false"/>
                <w:sz w:val="14"/>
                <w:szCs w:val="14"/>
              </w:rPr>
              <w:t xml:space="preserve">未着手｜加点事由の証拠書類。顧問会計専門家の押印が必要。</w:t>
            </w:r>
          </w:p>
        </w:tc>
      </w:tr>
    </w:tbl>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tblGrid>
      <w:tr>
        <w:tc>
          <w:tcPr>
            <w:tcW w:type="pct" w:w="100%"/>
            <w:shd w:fill="F5F1E6" w:color="auto" w:val="clear"/>
            <w:tcMar>
              <w:top w:type="dxa" w:w="60"/>
              <w:left w:type="dxa" w:w="100"/>
              <w:bottom w:type="dxa" w:w="60"/>
              <w:right w:type="dxa" w:w="100"/>
            </w:tcMar>
          </w:tcPr>
          <w:p>
            <w:pPr>
              <w:spacing w:after="40"/>
            </w:pPr>
            <w:r>
              <w:rPr>
                <w:rFonts w:ascii="Yu Gothic" w:cs="Yu Gothic" w:eastAsia="Yu Gothic" w:hAnsi="Yu Gothic"/>
                <w:b/>
                <w:bCs/>
                <w:color w:val="6B5F3F"/>
                <w:sz w:val="16"/>
                <w:szCs w:val="16"/>
              </w:rPr>
              <w:t xml:space="preserve">【審査の視点】</w:t>
            </w:r>
          </w:p>
          <w:p>
            <w:pPr>
              <w:spacing w:after="30"/>
            </w:pPr>
            <w:r>
              <w:rPr>
                <w:rFonts w:ascii="Yu Gothic" w:cs="Yu Gothic" w:eastAsia="Yu Gothic" w:hAnsi="Yu Gothic"/>
                <w:color w:val="4A4436"/>
                <w:sz w:val="16"/>
                <w:szCs w:val="16"/>
              </w:rPr>
              <w:t xml:space="preserve">・加点は採択率に直結する。認定・承認系（事業継続力強化計画・経営革新計画等）は取得に時間がかかるため、公募前から着手する。</w:t>
            </w:r>
          </w:p>
          <w:p>
            <w:pPr>
              <w:spacing w:after="30"/>
            </w:pPr>
            <w:r>
              <w:rPr>
                <w:rFonts w:ascii="Yu Gothic" w:cs="Yu Gothic" w:eastAsia="Yu Gothic" w:hAnsi="Yu Gothic"/>
                <w:color w:val="4A4436"/>
                <w:sz w:val="16"/>
                <w:szCs w:val="16"/>
              </w:rPr>
              <w:t xml:space="preserve">・賃上げ等の表明は、未達の場合に補助金の返還・減額となる制度がある。実行可能な水準で表明する。</w:t>
            </w:r>
          </w:p>
          <w:p>
            <w:pPr>
              <w:spacing w:after="30"/>
            </w:pPr>
            <w:r>
              <w:rPr>
                <w:rFonts w:ascii="Yu Gothic" w:cs="Yu Gothic" w:eastAsia="Yu Gothic" w:hAnsi="Yu Gothic"/>
                <w:color w:val="4A4436"/>
                <w:sz w:val="16"/>
                <w:szCs w:val="16"/>
              </w:rPr>
              <w:t xml:space="preserve">・対象となる加点項目・配点は公募回ごとに変わる。公募要領で最新要件を確認。</w:t>
            </w:r>
          </w:p>
        </w:tc>
      </w:tr>
    </w:tbl>
    <w:p>
      <w:pPr>
        <w:pStyle w:val="Heading2"/>
        <w:spacing w:after="80" w:before="220"/>
      </w:pPr>
      <w:r>
        <w:rPr>
          <w:rFonts w:ascii="Yu Gothic" w:cs="Yu Gothic" w:eastAsia="Yu Gothic" w:hAnsi="Yu Gothic"/>
          <w:b/>
          <w:bCs/>
        </w:rPr>
        <w:t xml:space="preserve">第2部　使える制度の診断</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制度名</w:t>
            </w:r>
          </w:p>
        </w:tc>
        <w:tc>
          <w:tcPr>
            <w:tcW w:type="pct" w:w="1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2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上限／補助率</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該当性</w:t>
            </w:r>
          </w:p>
        </w:tc>
        <w:tc>
          <w:tcPr>
            <w:tcW w:type="pct" w:w="3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採択ポイント</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事業承継・M&amp;A補助金 専門家活用枠 売り手支援類型（Ⅱ型）（16次公募）</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補助金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補助上限600万円に、DDを実施する場合は200万円、廃業費を併用する場合は300万円を加算（本件で見込める上限は事業費とDDで合計800万円。うちDD分は補助額ベースで200万円以内）。補助下限は補助額50万円／補助対象経費の1/2以内（①物価高等の影響により営業利益率が低下している者、②直近決算期の営業利益または経常利益が赤字の者のいずれかに該当する場合は2/3以内）</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対象外</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①契約・発注は交付決定日以降かつ補助事業期間内で、支払いまで同期間内に終えること。②中間報酬・成功報酬は、補助事業期間内に基本合意書または最終契約書が締結されることが前提。③FA・仲介費用は登録FA・仲介業者の支援に限る（登録の確認は交付決定時）。④補助事業期間内にクロージングしなかった場合、補助上限は300万円に変更され、売り手支援類型では原則DD費用およびシステム利用料のみが対象になる。</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事業承継・M&amp;A補助金 事業承継促進枠（16次公募）</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補助金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800万円（賃上げ要件を満たす場合は1,000万円。800万円超1,000万円以下の部分の補助率は1/2以内）。補助下限は補助額100万円。廃業費は上限300万円／2/3以内（小規模事業者等に該当しない場合は1/2以内）</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対象外</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承継の相手が親族または役員・従業員であることが前提。当社は親族内に後継者がおらず第三者への株式譲渡であるため、本枠の承継予定者の要件を満たさない。</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事業承継・M&amp;A補助金 PMI推進枠（16次公募）</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補助金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別途公表の公募要領による／別途公表の公募要領による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対象外</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買い手側の枠であり、売り手である当社は申請主体にならない。買い手候補が利用しうる制度として、統合計画の議論の材料に使う。</w:t>
            </w:r>
          </w:p>
        </w:tc>
      </w:tr>
      <w:tr>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事業承継・M&amp;A補助金 廃業・再チャレンジ枠（16次公募）</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補助金</w:t>
            </w:r>
          </w:p>
        </w:tc>
        <w:tc>
          <w:tcPr>
            <w:tcW w:type="pct" w:w="22%"/>
            <w:tcMar>
              <w:top w:type="dxa" w:w="30"/>
              <w:left w:type="dxa" w:w="60"/>
              <w:bottom w:type="dxa" w:w="30"/>
              <w:right w:type="dxa" w:w="60"/>
            </w:tcMar>
          </w:tcPr>
          <w:p>
            <w:r>
              <w:rPr>
                <w:rFonts w:ascii="Yu Gothic" w:cs="Yu Gothic" w:eastAsia="Yu Gothic" w:hAnsi="Yu Gothic"/>
                <w:b w:val="false"/>
                <w:bCs w:val="false"/>
                <w:sz w:val="14"/>
                <w:szCs w:val="14"/>
              </w:rPr>
              <w:t xml:space="preserve">併用申請時は廃業費300万円（専門家活用枠の上限に加算）／併用申請の補助率は事業費の補助率（1/2または2/3）に従う</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対象外</w:t>
            </w:r>
          </w:p>
        </w:tc>
        <w:tc>
          <w:tcPr>
            <w:tcW w:type="pct" w:w="30%"/>
            <w:tcMar>
              <w:top w:type="dxa" w:w="30"/>
              <w:left w:type="dxa" w:w="60"/>
              <w:bottom w:type="dxa" w:w="30"/>
              <w:right w:type="dxa" w:w="60"/>
            </w:tcMar>
          </w:tcPr>
          <w:p>
            <w:r>
              <w:rPr>
                <w:rFonts w:ascii="Yu Gothic" w:cs="Yu Gothic" w:eastAsia="Yu Gothic" w:hAnsi="Yu Gothic"/>
                <w:b w:val="false"/>
                <w:bCs w:val="false"/>
                <w:sz w:val="14"/>
                <w:szCs w:val="14"/>
              </w:rPr>
              <w:t xml:space="preserve">本件は全株式の譲渡であり、事業所・事業の廃止を伴わないため該当しない。設備の一部を買い手が承継しないことは、事業所・事業の廃止には当たらない。</w:t>
            </w:r>
          </w:p>
        </w:tc>
      </w:tr>
    </w:tbl>
    <w:p>
      <w:pPr>
        <w:pStyle w:val="Heading2"/>
        <w:spacing w:after="80" w:before="220"/>
      </w:pPr>
      <w:r>
        <w:rPr>
          <w:rFonts w:ascii="Yu Gothic" w:cs="Yu Gothic" w:eastAsia="Yu Gothic" w:hAnsi="Yu Gothic"/>
          <w:b/>
          <w:bCs/>
        </w:rPr>
        <w:t xml:space="preserve">第3部　必要書類チェックリスト</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3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書類</w:t>
            </w:r>
          </w:p>
        </w:tc>
        <w:tc>
          <w:tcPr>
            <w:tcW w:type="pct" w:w="1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区分</w:t>
            </w:r>
          </w:p>
        </w:tc>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入手先</w:t>
            </w:r>
          </w:p>
        </w:tc>
        <w:tc>
          <w:tcPr>
            <w:tcW w:type="pct" w:w="2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留意</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状況</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GビズIDプライムアカウント</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GビズID（デジタル庁）</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電子申請（Jグランツ）に必須。発行に1週間程度、混雑時は3週間程度かかる。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履歴事項全部証明書（対象会社）</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法務局</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申請時点で設立登記が完了していること。</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直近3期分の決算書・確定申告書一式（個別）</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自社（顧問税理士）</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法人は申請時点で3期分の決算・申告が完了していることが要件。補助率2/3の判定（営業利益率の低下・赤字）も連結ではなく個別の損益で行う。</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株主名簿（代表者の原本証明付き）</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支配株主が1者で議決権の過半数を有することを示す。当社は代表取締役社長が55%を保有。</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作成中</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対象会社代表者・共同申請者（支配株主）の住民票</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市区町村</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株式譲渡では対象会社と支配株主の共同申請となるため、双方分を用意する。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常時使用する従業員1名の労働条件通知書</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従業員を常時使用していることの確認資料。</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登録FA・仲介業者との契約書（案）</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FA</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M&amp;A支援機関登録制度の登録番号を確認する。契約の締結は交付決定日以降にする（本件はここで落ちた）。</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作成中</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補助対象経費の相見積（2者以上）</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FA・外注先・保険会社</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1件50万円以上（税抜）は原則2者以上。外注費・委託費・システム利用料・保険料は50万円未満でも原則必須で、選定理由書は相見積の代替として必ずしも認められない。見積書には発行者・金額の内訳・業務受託期間・受託業務の範囲を記載させ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事業計画（承継後の事業の継続・発展に関する記載）</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審査の着眼点は、補助事業期間内に適切に取り組まれる計画か・譲渡の目的と必要性・譲渡による効果と地域経済への影響。</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作成中</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中小企業の会計に関する指針のチェックリスト</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加点</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顧問税理士・会計士</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加点事由の証拠書類。顧問会計専門家の押印が必要。</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反社会的勢力に関する誓約書</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必須</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役員全員について確認する。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準備済</w:t>
            </w:r>
          </w:p>
        </w:tc>
      </w:tr>
      <w:tr>
        <w:tc>
          <w:tcPr>
            <w:tcW w:type="pct" w:w="34%"/>
            <w:tcMar>
              <w:top w:type="dxa" w:w="30"/>
              <w:left w:type="dxa" w:w="60"/>
              <w:bottom w:type="dxa" w:w="30"/>
              <w:right w:type="dxa" w:w="60"/>
            </w:tcMar>
          </w:tcPr>
          <w:p>
            <w:r>
              <w:rPr>
                <w:rFonts w:ascii="Yu Gothic" w:cs="Yu Gothic" w:eastAsia="Yu Gothic" w:hAnsi="Yu Gothic"/>
                <w:b w:val="false"/>
                <w:bCs w:val="false"/>
                <w:sz w:val="14"/>
                <w:szCs w:val="14"/>
              </w:rPr>
              <w:t xml:space="preserve">経費の負担者と支払口座の整理メモ</w:t>
            </w:r>
          </w:p>
        </w:tc>
        <w:tc>
          <w:tcPr>
            <w:tcW w:type="pct" w:w="10%"/>
            <w:tcMar>
              <w:top w:type="dxa" w:w="30"/>
              <w:left w:type="dxa" w:w="60"/>
              <w:bottom w:type="dxa" w:w="30"/>
              <w:right w:type="dxa" w:w="60"/>
            </w:tcMar>
          </w:tcPr>
          <w:p>
            <w:r>
              <w:rPr>
                <w:rFonts w:ascii="Yu Gothic" w:cs="Yu Gothic" w:eastAsia="Yu Gothic" w:hAnsi="Yu Gothic"/>
                <w:b w:val="false"/>
                <w:bCs w:val="false"/>
                <w:sz w:val="14"/>
                <w:szCs w:val="14"/>
              </w:rPr>
              <w:t xml:space="preserve">任意</w:t>
            </w:r>
          </w:p>
        </w:tc>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自社・顧問税理士</w:t>
            </w:r>
          </w:p>
        </w:tc>
        <w:tc>
          <w:tcPr>
            <w:tcW w:type="pct" w:w="26%"/>
            <w:tcMar>
              <w:top w:type="dxa" w:w="30"/>
              <w:left w:type="dxa" w:w="60"/>
              <w:bottom w:type="dxa" w:w="30"/>
              <w:right w:type="dxa" w:w="60"/>
            </w:tcMar>
          </w:tcPr>
          <w:p>
            <w:r>
              <w:rPr>
                <w:rFonts w:ascii="Yu Gothic" w:cs="Yu Gothic" w:eastAsia="Yu Gothic" w:hAnsi="Yu Gothic"/>
                <w:b w:val="false"/>
                <w:bCs w:val="false"/>
                <w:sz w:val="14"/>
                <w:szCs w:val="14"/>
              </w:rPr>
              <w:t xml:space="preserve">共同申請では各申請者の負担額に応じて交付され、支払は補助事業者名義の口座からの銀行振込またはクレジットカード1回払いに限られる。法人と支配株主のどちらが契約し負担するかを先に決める。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未着手</w:t>
            </w:r>
          </w:p>
        </w:tc>
      </w:tr>
    </w:tbl>
    <w:p>
      <w:pPr>
        <w:pStyle w:val="Heading2"/>
        <w:spacing w:after="80" w:before="220"/>
      </w:pPr>
      <w:r>
        <w:rPr>
          <w:rFonts w:ascii="Yu Gothic" w:cs="Yu Gothic" w:eastAsia="Yu Gothic" w:hAnsi="Yu Gothic"/>
          <w:b/>
          <w:bCs/>
        </w:rPr>
        <w:t xml:space="preserve">第4部　申請スケジュール</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c>
          <w:tcPr>
            <w:tcW w:type="pct" w:w="18%"/>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フェーズ</w:t>
            </w:r>
          </w:p>
        </w:tc>
        <w:tc>
          <w:tcPr>
            <w:tcW w:type="pct" w:w="16%"/>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時期</w:t>
            </w:r>
          </w:p>
        </w:tc>
        <w:tc>
          <w:tcPr>
            <w:tcW w:type="pct" w:w="40%"/>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作業</w:t>
            </w:r>
          </w:p>
        </w:tc>
        <w:tc>
          <w:tcPr>
            <w:tcW w:type="pct" w:w="14%"/>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担当</w:t>
            </w:r>
          </w:p>
        </w:tc>
        <w:tc>
          <w:tcPr>
            <w:tcW w:type="pct" w:w="12%"/>
            <w:shd w:fill="ECE4D2" w:color="auto" w:val="clear"/>
            <w:tcMar>
              <w:top w:type="dxa" w:w="30"/>
              <w:left w:type="dxa" w:w="60"/>
              <w:bottom w:type="dxa" w:w="30"/>
              <w:right w:type="dxa" w:w="60"/>
            </w:tcMar>
          </w:tcPr>
          <w:p>
            <w:r>
              <w:rPr>
                <w:rFonts w:ascii="Yu Gothic" w:cs="Yu Gothic" w:eastAsia="Yu Gothic" w:hAnsi="Yu Gothic"/>
                <w:b/>
                <w:bCs/>
                <w:sz w:val="14"/>
                <w:szCs w:val="14"/>
              </w:rPr>
              <w:t xml:space="preserve">留意</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実際に起きたこと① 価値算定・株主の意思確認</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2026年4月〜6月上旬</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株式価値算定書の入手（2026-05-29 完了）、連結決算パッケージの作成、株主間の意思確認（2026-06-05 完了）。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売り手・FA・会計士</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この時点ではまだ補助金を検討していなかった。ここが分岐点で、先に公募要領を見ていれば申請から始められた。</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実際に起きたこと② FAとの契約・打診</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2026年6月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FAと契約し、ノンネームシートの作成と買い手候補への打診（2026-06-30 完了）。</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売り手・FA</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契約・発注は交付決定日以降でなければ補助対象にならない。FA費用10,000千円が対象外になった直接の原因。</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実際に起きたこと③ 開示・面談・セルサイドDD</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2026年7月〜9月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秘密保持契約の締結、企業概要書（IM）の開示、マネジメント面談、セルサイドDDの実施。</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対象会社・FA</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IM作成支援・DD費用も、契約・実施が補助事業期間前のため対象外。</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判定（本診断）</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2026年9月30日</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16次公募（受付 2026年10月2日〜11月6日17:00）への当てはめ。4つの枠を全部当て、時期の要件で申請不可と判定。</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管理部長＋顧問税理士</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16次公募の補助事業期間は2027年1月（下旬予定）から14か月以内。当社の最終契約予定は2026年12月25日で、期間の開始前。</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このまま進める場合</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2026年10月〜2027年3月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意向表明の受領、買い手候補の選定、DD対応、最終契約（2026-12-25 予定）、クロージング（2027-03-31 予定）。</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売り手・FA・買い手</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補助金を前提としないため、専門家費用19,300千円は全額自己負担で資金繰りを組む。</w:t>
            </w:r>
          </w:p>
        </w:tc>
      </w:tr>
      <w:tr>
        <w:tc>
          <w:tcPr>
            <w:tcW w:type="pct" w:w="18%"/>
            <w:tcMar>
              <w:top w:type="dxa" w:w="30"/>
              <w:left w:type="dxa" w:w="60"/>
              <w:bottom w:type="dxa" w:w="30"/>
              <w:right w:type="dxa" w:w="60"/>
            </w:tcMar>
          </w:tcPr>
          <w:p>
            <w:r>
              <w:rPr>
                <w:rFonts w:ascii="Yu Gothic" w:cs="Yu Gothic" w:eastAsia="Yu Gothic" w:hAnsi="Yu Gothic"/>
                <w:b w:val="false"/>
                <w:bCs w:val="false"/>
                <w:sz w:val="14"/>
                <w:szCs w:val="14"/>
              </w:rPr>
              <w:t xml:space="preserve">次に同じことをするとき</w:t>
            </w:r>
          </w:p>
        </w:tc>
        <w:tc>
          <w:tcPr>
            <w:tcW w:type="pct" w:w="16%"/>
            <w:tcMar>
              <w:top w:type="dxa" w:w="30"/>
              <w:left w:type="dxa" w:w="60"/>
              <w:bottom w:type="dxa" w:w="30"/>
              <w:right w:type="dxa" w:w="60"/>
            </w:tcMar>
          </w:tcPr>
          <w:p>
            <w:r>
              <w:rPr>
                <w:rFonts w:ascii="Yu Gothic" w:cs="Yu Gothic" w:eastAsia="Yu Gothic" w:hAnsi="Yu Gothic"/>
                <w:b w:val="false"/>
                <w:bCs w:val="false"/>
                <w:sz w:val="14"/>
                <w:szCs w:val="14"/>
              </w:rPr>
              <w:t xml:space="preserve">案件の検討を始めた月</w:t>
            </w:r>
          </w:p>
        </w:tc>
        <w:tc>
          <w:tcPr>
            <w:tcW w:type="pct" w:w="40%"/>
            <w:tcMar>
              <w:top w:type="dxa" w:w="30"/>
              <w:left w:type="dxa" w:w="60"/>
              <w:bottom w:type="dxa" w:w="30"/>
              <w:right w:type="dxa" w:w="60"/>
            </w:tcMar>
          </w:tcPr>
          <w:p>
            <w:r>
              <w:rPr>
                <w:rFonts w:ascii="Yu Gothic" w:cs="Yu Gothic" w:eastAsia="Yu Gothic" w:hAnsi="Yu Gothic"/>
                <w:b w:val="false"/>
                <w:bCs w:val="false"/>
                <w:sz w:val="14"/>
                <w:szCs w:val="14"/>
              </w:rPr>
              <w:t xml:space="preserve">公募要領の確認→GビズID→相見積→申請→採択・交付決定→交付決定日以降にFAと契約→補助事業期間内に基本合意・最終契約・クロージング→実績報告。</w:t>
            </w:r>
          </w:p>
        </w:tc>
        <w:tc>
          <w:tcPr>
            <w:tcW w:type="pct" w:w="14%"/>
            <w:tcMar>
              <w:top w:type="dxa" w:w="30"/>
              <w:left w:type="dxa" w:w="60"/>
              <w:bottom w:type="dxa" w:w="30"/>
              <w:right w:type="dxa" w:w="60"/>
            </w:tcMar>
          </w:tcPr>
          <w:p>
            <w:r>
              <w:rPr>
                <w:rFonts w:ascii="Yu Gothic" w:cs="Yu Gothic" w:eastAsia="Yu Gothic" w:hAnsi="Yu Gothic"/>
                <w:b w:val="false"/>
                <w:bCs w:val="false"/>
                <w:sz w:val="14"/>
                <w:szCs w:val="14"/>
              </w:rPr>
              <w:t xml:space="preserve">経営者＋管理部長＋顧問税理士</w:t>
            </w:r>
          </w:p>
        </w:tc>
        <w:tc>
          <w:tcPr>
            <w:tcW w:type="pct" w:w="12%"/>
            <w:tcMar>
              <w:top w:type="dxa" w:w="30"/>
              <w:left w:type="dxa" w:w="60"/>
              <w:bottom w:type="dxa" w:w="30"/>
              <w:right w:type="dxa" w:w="60"/>
            </w:tcMar>
          </w:tcPr>
          <w:p>
            <w:r>
              <w:rPr>
                <w:rFonts w:ascii="Yu Gothic" w:cs="Yu Gothic" w:eastAsia="Yu Gothic" w:hAnsi="Yu Gothic"/>
                <w:b w:val="false"/>
                <w:bCs w:val="false"/>
                <w:sz w:val="14"/>
                <w:szCs w:val="14"/>
              </w:rPr>
              <w:t xml:space="preserve">公募は年に複数回あるため、案件の検討開始から申請までの2〜3か月を工程に織り込めば、順番を守ったまま進められる。</w:t>
            </w:r>
          </w:p>
        </w:tc>
      </w:tr>
    </w:tbl>
    <w:p>
      <w:pPr>
        <w:pStyle w:val="Heading2"/>
        <w:spacing w:after="80" w:before="220"/>
      </w:pPr>
      <w:r>
        <w:rPr>
          <w:rFonts w:ascii="Yu Gothic" w:cs="Yu Gothic" w:eastAsia="Yu Gothic" w:hAnsi="Yu Gothic"/>
          <w:b/>
          <w:bCs/>
        </w:rPr>
        <w:t xml:space="preserve">総合所見</w:t>
      </w:r>
    </w:p>
    <w:p>
      <w:pPr>
        <w:spacing w:after="60"/>
      </w:pPr>
      <w:r>
        <w:rPr>
          <w:rFonts w:ascii="Yu Gothic" w:cs="Yu Gothic" w:eastAsia="Yu Gothic" w:hAnsi="Yu Gothic"/>
          <w:b w:val="false"/>
          <w:bCs w:val="false"/>
          <w:sz w:val="20"/>
          <w:szCs w:val="20"/>
        </w:rPr>
        <w:t xml:space="preserve">本件は、親族内に後継者がいない中小製造業の第三者承継であり、制度としては事業承継・M&amp;A補助金の専門家活用枠・売り手支援類型（Ⅱ型）に当たる。しかし16次公募では、補助対象経費は交付決定日以降に契約・発注したものに限られ、中間報酬・成功報酬は補助事業期間内に基本合意書または最終契約書が締結されることが前提となる。当社はFAとの契約が2026年6月、株式価値算定が5月29日、IM作成が7月に完了し、最終契約の予定も2026年12月25日であるため、専門家費用19,300千円のうち補助対象になるものは無い。仮に順番が正しければ補助対象経費18,500千円・補助額8,000千円（上限適用後）であり、逸失額は8,000千円である。事業承継促進枠は親族内・従業員承継が前提、PMI推進枠は買い手側、廃業・再チャレンジ枠は事業所または事業の廃止を伴わないため、いずれも該当しない。会計・税務の取扱いは次のとおり。①補助金は交付を受けた事業年度の収益として計上し、法人税等の課税対象となる。②圧縮記帳（法人税法42条）は国庫補助金等で固定資産を取得した場合の制度であり、専門家費用の補填には使えない。③補助対象経費からは消費税額および地方消費税額を減額する（経費は税抜で積む）。④精算払のため、費用の発生年度と補助金の入金年度がずれる。立替が必要な期間の資金繰りとつなぎ融資を先に手当てする。⑤株式譲渡に伴うFA・仲介費用は株主の譲渡費用としての性質を持ちうるため、法人と支配株主のどちらが契約し負担するかで、法人側の損金性（寄附金・役員給与の認定）と株主側の譲渡所得の計算が変わる。共同申請では各申請者の負担額に応じて交付されるため、契約主体・負担者・支払口座を申請前に顧問税理士と確定させること。</w:t>
      </w:r>
    </w:p>
    <w:p>
      <w:pPr>
        <w:spacing w:after="60"/>
      </w:pPr>
      <w:r>
        <w:rPr>
          <w:rFonts w:ascii="Yu Gothic" w:cs="Yu Gothic" w:eastAsia="Yu Gothic" w:hAnsi="Yu Gothic"/>
          <w:b w:val="false"/>
          <w:bCs w:val="false"/>
          <w:color w:val="8A8170"/>
          <w:sz w:val="16"/>
          <w:szCs w:val="16"/>
        </w:rPr>
        <w:t xml:space="preserve">※ 制度内容・上限・補助率・要件・締切は公募回・年度で変わります。必ず最新の公募要領で確認してください。AI生成ドラフトは専門家（認定支援機関・会計士等）のレビューを前提とします。</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Yu Gothic" w:cs="Yu Gothic" w:eastAsia="Yu Gothic" w:hAnsi="Yu Gothic"/>
        <w:color w:val="8A8170"/>
        <w:sz w:val="14"/>
        <w:szCs w:val="14"/>
      </w:rPr>
      <w:t xml:space="preserve">BENTO（cpaai.jp）　</w:t>
    </w:r>
    <w:r>
      <w:rPr>
        <w:rFonts w:ascii="Yu Gothic" w:cs="Yu Gothic" w:eastAsia="Yu Gothic" w:hAnsi="Yu Gothic"/>
        <w:color w:val="8A8170"/>
        <w:sz w:val="14"/>
        <w:szCs w:val="14"/>
      </w:rPr>
      <w:t xml:space="preserve"/>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2026-09-23T23:23:40.345Z</dcterms:created>
  <dcterms:modified xsi:type="dcterms:W3CDTF">2026-09-23T23:23:40.346Z</dcterms:modified>
</cp:coreProperties>
</file>

<file path=docProps/custom.xml><?xml version="1.0" encoding="utf-8"?>
<Properties xmlns="http://schemas.openxmlformats.org/officeDocument/2006/custom-properties" xmlns:vt="http://schemas.openxmlformats.org/officeDocument/2006/docPropsVTypes"/>
</file>