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0"/>
      </w:pPr>
      <w:r>
        <w:rPr>
          <w:rFonts w:ascii="Yu Gothic" w:cs="Yu Gothic" w:eastAsia="Yu Gothic" w:hAnsi="Yu Gothic"/>
          <w:b/>
          <w:bCs/>
          <w:color w:val="24406B"/>
          <w:sz w:val="40"/>
          <w:szCs w:val="40"/>
        </w:rPr>
        <w:t xml:space="preserve">サンプル建設株式会社</w:t>
      </w:r>
    </w:p>
    <w:p>
      <w:pPr>
        <w:spacing w:after="60"/>
      </w:pPr>
      <w:r>
        <w:rPr>
          <w:rFonts w:ascii="Yu Gothic" w:cs="Yu Gothic" w:eastAsia="Yu Gothic" w:hAnsi="Yu Gothic"/>
          <w:b w:val="false"/>
          <w:bCs w:val="false"/>
          <w:sz w:val="28"/>
          <w:szCs w:val="28"/>
        </w:rPr>
        <w:t xml:space="preserve">資金繰り・資金調達支援パッケージ</w:t>
      </w:r>
    </w:p>
    <w:p>
      <w:pPr>
        <w:spacing w:after="60"/>
      </w:pPr>
      <w:r>
        <w:rPr>
          <w:rFonts w:ascii="Yu Gothic" w:cs="Yu Gothic" w:eastAsia="Yu Gothic" w:hAnsi="Yu Gothic"/>
          <w:b w:val="false"/>
          <w:bCs w:val="false"/>
          <w:color w:val="6B7280"/>
          <w:sz w:val="22"/>
          <w:szCs w:val="22"/>
        </w:rPr>
        <w:t xml:space="preserve">2027年3月期 第1四半期（13週）</w:t>
      </w:r>
    </w:p>
    <w:p>
      <w:pPr>
        <w:pStyle w:val="Heading1"/>
        <w:spacing w:after="90" w:before="240"/>
      </w:pPr>
      <w:r>
        <w:rPr>
          <w:rFonts w:ascii="Yu Gothic" w:cs="Yu Gothic" w:eastAsia="Yu Gothic" w:hAnsi="Yu Gothic"/>
          <w:b/>
          <w:bCs/>
          <w:color w:val="24406B"/>
        </w:rPr>
        <w:t xml:space="preserve">本書の守備範囲</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本書は、資金繰りの見える化と、金融機関へご自身で説明するための資料づくりを支援するものです。金融機関とのお話し合いはお客様ご自身で行っていただきます。借入の可否・金額・条件はすべて金融機関の審査によります。</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税務（申告・納税に関する事項）は本パッケージの対象外です。税務に接する論点は「税理士確認事項」として整理にとどめ、内容には立ち入りません。</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本パッケージは金融機関からの借入に関する対話材料を対象とし、投資家からの出資に関する検討は扱いません。</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本書は金融機関との対話材料であり、融資の斡旋・仲介・媒介ではありません。借入の可否・条件は金融機関の審査によります。（※文面は弁護士確認前のドラフト）</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被監査クライアントへの資金繰り・資金調達支援の提供は、自己レビューの脅威となり得ます（倫理規則）。保証業務と併存する案件ではお受けできない場合があります。最終判断は会計士ご自身に委ねられます。</w:t>
      </w:r>
    </w:p>
    <w:p>
      <w:pPr>
        <w:pStyle w:val="Heading1"/>
        <w:spacing w:after="90" w:before="240"/>
      </w:pPr>
      <w:r>
        <w:rPr>
          <w:rFonts w:ascii="Yu Gothic" w:cs="Yu Gothic" w:eastAsia="Yu Gothic" w:hAnsi="Yu Gothic"/>
          <w:b/>
          <w:bCs/>
          <w:color w:val="24406B"/>
        </w:rPr>
        <w:t xml:space="preserve">1. 概要</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tblGrid>
      <w:tr>
        <w:trPr>
          <w:tblHeader/>
        </w:trPr>
        <w:tc>
          <w:tcPr>
            <w:tcW w:type="pct" w:w="4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項目</w:t>
            </w:r>
          </w:p>
        </w:tc>
        <w:tc>
          <w:tcPr>
            <w:tcW w:type="pct" w:w="6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内容</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期首の現金</w:t>
            </w:r>
          </w:p>
        </w:tc>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60,000,000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最終週末の残高</w:t>
            </w:r>
          </w:p>
        </w:tc>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152,600,000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調達の実行を前提とする入金を除いた最終週末の残高</w:t>
            </w:r>
          </w:p>
        </w:tc>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-47,400,000</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希望額</w:t>
            </w:r>
          </w:p>
        </w:tc>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200,000,000</w:t>
            </w:r>
          </w:p>
        </w:tc>
      </w:tr>
      <w:tr>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希望期間</w:t>
            </w:r>
          </w:p>
        </w:tc>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12 か月</w:t>
            </w:r>
          </w:p>
        </w:tc>
      </w:tr>
      <w:tr>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返済原資</w:t>
            </w:r>
          </w:p>
        </w:tc>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当期（第31期・2027年3月期）の受注残に基づく完成工事高の入金。前期（第30期）の完成工事高は約2,000百万円で、月次の出来高請求の入金198百万円（税込）に対し恒常の支出は188.5百万円（税込）で黒字。資金需要は新規受注工事の着工に伴う先行原価380百万円の立替による。金額はすべて税込</w:t>
            </w:r>
          </w:p>
        </w:tc>
      </w:tr>
    </w:tbl>
    <w:p>
      <w:pPr>
        <w:pStyle w:val="Heading1"/>
        <w:spacing w:after="90" w:before="240"/>
      </w:pPr>
      <w:r>
        <w:rPr>
          <w:rFonts w:ascii="Yu Gothic" w:cs="Yu Gothic" w:eastAsia="Yu Gothic" w:hAnsi="Yu Gothic"/>
          <w:b/>
          <w:bCs/>
          <w:color w:val="24406B"/>
        </w:rPr>
        <w:t xml:space="preserve">2. 借入一覧</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Layout w:type="fixed"/>
      </w:tblPr>
      <w:tblGrid>
        <w:gridCol w:w="2527"/>
        <w:gridCol w:w="1173"/>
        <w:gridCol w:w="1444"/>
        <w:gridCol w:w="1444"/>
        <w:gridCol w:w="1534"/>
        <w:gridCol w:w="903"/>
      </w:tblGrid>
      <w:tr>
        <w:trPr>
          <w:tblHeader/>
        </w:trPr>
        <w:tc>
          <w:tcPr>
            <w:tcW w:type="pct" w:w="28%"/>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借入先</w:t>
            </w:r>
          </w:p>
        </w:tc>
        <w:tc>
          <w:tcPr>
            <w:tcW w:type="pct" w:w="13%"/>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種類</w:t>
            </w:r>
          </w:p>
        </w:tc>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残高</w:t>
            </w:r>
          </w:p>
        </w:tc>
        <w:tc>
          <w:tcPr>
            <w:tcW w:type="pct" w:w="1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毎月返済額</w:t>
            </w:r>
          </w:p>
        </w:tc>
        <w:tc>
          <w:tcPr>
            <w:tcW w:type="pct" w:w="17%"/>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担保</w:t>
            </w:r>
          </w:p>
        </w:tc>
        <w:tc>
          <w:tcPr>
            <w:tcW w:type="pct" w:w="1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保証</w:t>
            </w:r>
          </w:p>
        </w:tc>
      </w:tr>
      <w:tr>
        <w:tc>
          <w:tcPr>
            <w:tcW w:type="pct" w:w="28%"/>
            <w:tcMar>
              <w:top w:type="dxa" w:w="30"/>
              <w:left w:type="dxa" w:w="60"/>
              <w:bottom w:type="dxa" w:w="30"/>
              <w:right w:type="dxa" w:w="60"/>
            </w:tcMar>
          </w:tcPr>
          <w:p>
            <w:r>
              <w:rPr>
                <w:rFonts w:ascii="Yu Gothic" w:cs="Yu Gothic" w:eastAsia="Yu Gothic" w:hAnsi="Yu Gothic"/>
                <w:b w:val="false"/>
                <w:bCs w:val="false"/>
                <w:sz w:val="15"/>
                <w:szCs w:val="15"/>
              </w:rPr>
              <w:t xml:space="preserve">株式会社サンプル中央銀行</w:t>
            </w:r>
          </w:p>
        </w:tc>
        <w:tc>
          <w:tcPr>
            <w:tcW w:type="pct" w:w="13%"/>
            <w:tcMar>
              <w:top w:type="dxa" w:w="30"/>
              <w:left w:type="dxa" w:w="60"/>
              <w:bottom w:type="dxa" w:w="30"/>
              <w:right w:type="dxa" w:w="60"/>
            </w:tcMar>
          </w:tcPr>
          <w:p>
            <w:r>
              <w:rPr>
                <w:rFonts w:ascii="Yu Gothic" w:cs="Yu Gothic" w:eastAsia="Yu Gothic" w:hAnsi="Yu Gothic"/>
                <w:b w:val="false"/>
                <w:bCs w:val="false"/>
                <w:sz w:val="15"/>
                <w:szCs w:val="15"/>
              </w:rPr>
              <w:t xml:space="preserve">証書貸付</w:t>
            </w:r>
          </w:p>
        </w:tc>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400,000,000</w:t>
            </w:r>
          </w:p>
        </w:tc>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8,000,000</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本社土地建物</w:t>
            </w:r>
          </w:p>
        </w:tc>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あり</w:t>
            </w:r>
          </w:p>
        </w:tc>
      </w:tr>
      <w:tr>
        <w:tc>
          <w:tcPr>
            <w:tcW w:type="pct" w:w="2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東都銀行</w:t>
            </w:r>
          </w:p>
        </w:tc>
        <w:tc>
          <w:tcPr>
            <w:tcW w:type="pct" w:w="13%"/>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当座貸越</w:t>
            </w:r>
          </w:p>
        </w:tc>
        <w:tc>
          <w:tcPr>
            <w:tcW w:type="pct" w:w="1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150,000,000</w:t>
            </w:r>
          </w:p>
        </w:tc>
        <w:tc>
          <w:tcPr>
            <w:tcW w:type="pct" w:w="1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なし</w:t>
            </w:r>
          </w:p>
        </w:tc>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あり</w:t>
            </w:r>
          </w:p>
        </w:tc>
      </w:tr>
      <w:tr>
        <w:tc>
          <w:tcPr>
            <w:tcW w:type="pct" w:w="28%"/>
            <w:tcMar>
              <w:top w:type="dxa" w:w="30"/>
              <w:left w:type="dxa" w:w="60"/>
              <w:bottom w:type="dxa" w:w="30"/>
              <w:right w:type="dxa" w:w="60"/>
            </w:tcMar>
          </w:tcPr>
          <w:p>
            <w:r>
              <w:rPr>
                <w:rFonts w:ascii="Yu Gothic" w:cs="Yu Gothic" w:eastAsia="Yu Gothic" w:hAnsi="Yu Gothic"/>
                <w:b w:val="false"/>
                <w:bCs w:val="false"/>
                <w:sz w:val="15"/>
                <w:szCs w:val="15"/>
              </w:rPr>
              <w:t xml:space="preserve">サンプル信用組合</w:t>
            </w:r>
          </w:p>
        </w:tc>
        <w:tc>
          <w:tcPr>
            <w:tcW w:type="pct" w:w="13%"/>
            <w:tcMar>
              <w:top w:type="dxa" w:w="30"/>
              <w:left w:type="dxa" w:w="60"/>
              <w:bottom w:type="dxa" w:w="30"/>
              <w:right w:type="dxa" w:w="60"/>
            </w:tcMar>
          </w:tcPr>
          <w:p>
            <w:r>
              <w:rPr>
                <w:rFonts w:ascii="Yu Gothic" w:cs="Yu Gothic" w:eastAsia="Yu Gothic" w:hAnsi="Yu Gothic"/>
                <w:b w:val="false"/>
                <w:bCs w:val="false"/>
                <w:sz w:val="15"/>
                <w:szCs w:val="15"/>
              </w:rPr>
              <w:t xml:space="preserve">証書貸付</w:t>
            </w:r>
          </w:p>
        </w:tc>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90,000,000</w:t>
            </w:r>
          </w:p>
        </w:tc>
        <w:tc>
          <w:tcPr>
            <w:tcW w:type="pct" w:w="16%"/>
            <w:tcMar>
              <w:top w:type="dxa" w:w="30"/>
              <w:left w:type="dxa" w:w="60"/>
              <w:bottom w:type="dxa" w:w="30"/>
              <w:right w:type="dxa" w:w="60"/>
            </w:tcMar>
          </w:tcPr>
          <w:p>
            <w:r>
              <w:rPr>
                <w:rFonts w:ascii="Yu Gothic" w:cs="Yu Gothic" w:eastAsia="Yu Gothic" w:hAnsi="Yu Gothic"/>
                <w:b w:val="false"/>
                <w:bCs w:val="false"/>
                <w:sz w:val="15"/>
                <w:szCs w:val="15"/>
              </w:rPr>
              <w:t xml:space="preserve">3,000,000</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なし</w:t>
            </w:r>
          </w:p>
        </w:tc>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あり</w:t>
            </w:r>
          </w:p>
        </w:tc>
      </w:tr>
      <w:tr>
        <w:tc>
          <w:tcPr>
            <w:tcW w:type="pct" w:w="28%"/>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合計</w:t>
            </w:r>
          </w:p>
        </w:tc>
        <w:tc>
          <w:tcPr>
            <w:tcW w:type="pct" w:w="13%"/>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
            </w:r>
          </w:p>
        </w:tc>
        <w:tc>
          <w:tcPr>
            <w:tcW w:type="pct" w:w="1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640,000,000</w:t>
            </w:r>
          </w:p>
        </w:tc>
        <w:tc>
          <w:tcPr>
            <w:tcW w:type="pct" w:w="1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11,000,000</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
            </w:r>
          </w:p>
        </w:tc>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
            </w:r>
          </w:p>
        </w:tc>
      </w:tr>
    </w:tbl>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返済予定表が未提出のため、この表はお客様からの口頭・暫定の情報に基づく仮置きです。返済予定表を入手のうえ突合してください（合計欄のみ本ツールで集計しています）。</w:t>
      </w:r>
    </w:p>
    <w:p>
      <w:pPr>
        <w:pStyle w:val="Heading1"/>
        <w:spacing w:after="90" w:before="240"/>
      </w:pPr>
      <w:r>
        <w:rPr>
          <w:rFonts w:ascii="Yu Gothic" w:cs="Yu Gothic" w:eastAsia="Yu Gothic" w:hAnsi="Yu Gothic"/>
          <w:b/>
          <w:bCs/>
          <w:color w:val="24406B"/>
        </w:rPr>
        <w:t xml:space="preserve">3. 資金使途</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tblGrid>
      <w:tr>
        <w:trPr>
          <w:tblHeader/>
        </w:trPr>
        <w:tc>
          <w:tcPr>
            <w:tcW w:type="pct" w:w="6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使途</w:t>
            </w:r>
          </w:p>
        </w:tc>
        <w:tc>
          <w:tcPr>
            <w:tcW w:type="pct" w:w="4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金額</w:t>
            </w:r>
          </w:p>
        </w:tc>
      </w:tr>
      <w:tr>
        <w:tc>
          <w:tcPr>
            <w:tcW w:type="pct" w:w="60%"/>
            <w:tcMar>
              <w:top w:type="dxa" w:w="30"/>
              <w:left w:type="dxa" w:w="60"/>
              <w:bottom w:type="dxa" w:w="30"/>
              <w:right w:type="dxa" w:w="60"/>
            </w:tcMar>
          </w:tcPr>
          <w:p>
            <w:r>
              <w:rPr>
                <w:rFonts w:ascii="Yu Gothic" w:cs="Yu Gothic" w:eastAsia="Yu Gothic" w:hAnsi="Yu Gothic"/>
                <w:b w:val="false"/>
                <w:bCs w:val="false"/>
                <w:sz w:val="15"/>
                <w:szCs w:val="15"/>
              </w:rPr>
              <w:t xml:space="preserve">新規受注工事（河川護岸 第2工区）の着工資材・仮設費の一部</w:t>
            </w:r>
          </w:p>
        </w:tc>
        <w:tc>
          <w:tcPr>
            <w:tcW w:type="pct" w:w="40%"/>
            <w:tcMar>
              <w:top w:type="dxa" w:w="30"/>
              <w:left w:type="dxa" w:w="60"/>
              <w:bottom w:type="dxa" w:w="30"/>
              <w:right w:type="dxa" w:w="60"/>
            </w:tcMar>
          </w:tcPr>
          <w:p>
            <w:r>
              <w:rPr>
                <w:rFonts w:ascii="Yu Gothic" w:cs="Yu Gothic" w:eastAsia="Yu Gothic" w:hAnsi="Yu Gothic"/>
                <w:b w:val="false"/>
                <w:bCs w:val="false"/>
                <w:sz w:val="15"/>
                <w:szCs w:val="15"/>
              </w:rPr>
              <w:t xml:space="preserve">110,000,000</w:t>
            </w:r>
          </w:p>
        </w:tc>
      </w:tr>
      <w:tr>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新規受注工事（河川護岸 第2工区）下請への先行支払の一部</w:t>
            </w:r>
          </w:p>
        </w:tc>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90,000,000</w:t>
            </w:r>
          </w:p>
        </w:tc>
      </w:tr>
      <w:tr>
        <w:tc>
          <w:tcPr>
            <w:tcW w:type="pct" w:w="6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合計</w:t>
            </w:r>
          </w:p>
        </w:tc>
        <w:tc>
          <w:tcPr>
            <w:tcW w:type="pct" w:w="4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200,000,000</w:t>
            </w:r>
          </w:p>
        </w:tc>
      </w:tr>
    </w:tbl>
    <w:p>
      <w:pPr>
        <w:spacing w:after="60"/>
      </w:pPr>
      <w:r>
        <w:rPr>
          <w:rFonts w:ascii="Yu Gothic" w:cs="Yu Gothic" w:eastAsia="Yu Gothic" w:hAnsi="Yu Gothic"/>
          <w:b w:val="false"/>
          <w:bCs w:val="false"/>
          <w:sz w:val="20"/>
          <w:szCs w:val="20"/>
        </w:rPr>
        <w:t xml:space="preserve">使途の合計は希望額と一致しています。</w:t>
      </w:r>
    </w:p>
    <w:p>
      <w:pPr>
        <w:pStyle w:val="Heading1"/>
        <w:spacing w:after="90" w:before="240"/>
      </w:pPr>
      <w:r>
        <w:rPr>
          <w:rFonts w:ascii="Yu Gothic" w:cs="Yu Gothic" w:eastAsia="Yu Gothic" w:hAnsi="Yu Gothic"/>
          <w:b/>
          <w:bCs/>
          <w:color w:val="24406B"/>
        </w:rPr>
        <w:t xml:space="preserve">4. 13週資金繰り表</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gridCol w:w="100"/>
        <w:gridCol w:w="100"/>
        <w:gridCol w:w="100"/>
        <w:gridCol w:w="100"/>
        <w:gridCol w:w="100"/>
      </w:tblGrid>
      <w:tr>
        <w:trPr>
          <w:tblHeader/>
        </w:trPr>
        <w:tc>
          <w:tcPr>
            <w:tcW w:type="pct" w:w="10%"/>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週</w:t>
            </w:r>
          </w:p>
        </w:tc>
        <w:tc>
          <w:tcPr>
            <w:tcW w:type="pct" w:w="22%"/>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期間</w:t>
            </w:r>
          </w:p>
        </w:tc>
        <w:tc>
          <w:tcPr>
            <w:tcW w:type="pct" w:w="12%"/>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区分</w:t>
            </w:r>
          </w:p>
        </w:tc>
        <w:tc>
          <w:tcPr>
            <w:tcW w:type="pct" w:w="1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入金</w:t>
            </w:r>
          </w:p>
        </w:tc>
        <w:tc>
          <w:tcPr>
            <w:tcW w:type="pct" w:w="1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うち調達前提</w:t>
            </w:r>
          </w:p>
        </w:tc>
        <w:tc>
          <w:tcPr>
            <w:tcW w:type="pct" w:w="1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出金</w:t>
            </w:r>
          </w:p>
        </w:tc>
        <w:tc>
          <w:tcPr>
            <w:tcW w:type="pct" w:w="1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週末残高</w:t>
            </w:r>
          </w:p>
        </w:tc>
        <w:tc>
          <w:tcPr>
            <w:tcW w:type="pct" w:w="14%"/>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調達除き残高</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W1</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2026-04-06 〜 2026-04-12</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実績</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62,000,000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14,800,000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107,200,000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107,200,000</w:t>
            </w:r>
          </w:p>
        </w:tc>
      </w:tr>
      <w:tr>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W2</w:t>
            </w:r>
          </w:p>
        </w:tc>
        <w:tc>
          <w:tcPr>
            <w:tcW w:type="pct" w:w="2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2026-04-13 〜 2026-04-19</w:t>
            </w:r>
          </w:p>
        </w:tc>
        <w:tc>
          <w:tcPr>
            <w:tcW w:type="pct" w:w="1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実績</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42,000,000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65,200,000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65,200,000</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W3</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2026-04-20 〜 2026-04-26</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200,000,000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200,000,000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135,000,000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130,200,000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-69,800,000</w:t>
            </w:r>
          </w:p>
        </w:tc>
      </w:tr>
      <w:tr>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W4</w:t>
            </w:r>
          </w:p>
        </w:tc>
        <w:tc>
          <w:tcPr>
            <w:tcW w:type="pct" w:w="2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2026-04-27 〜 2026-05-03</w:t>
            </w:r>
          </w:p>
        </w:tc>
        <w:tc>
          <w:tcPr>
            <w:tcW w:type="pct" w:w="1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528,000,000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58,500,000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599,700,000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399,700,000</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W5</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2026-05-04 〜 2026-05-10</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2,500,000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597,200,000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397,200,000</w:t>
            </w:r>
          </w:p>
        </w:tc>
      </w:tr>
      <w:tr>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W6</w:t>
            </w:r>
          </w:p>
        </w:tc>
        <w:tc>
          <w:tcPr>
            <w:tcW w:type="pct" w:w="2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2026-05-11 〜 2026-05-17</w:t>
            </w:r>
          </w:p>
        </w:tc>
        <w:tc>
          <w:tcPr>
            <w:tcW w:type="pct" w:w="1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54,800,000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542,400,000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342,400,000</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W7</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2026-05-18 〜 2026-05-24</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310,000,000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232,400,000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32,400,000</w:t>
            </w:r>
          </w:p>
        </w:tc>
      </w:tr>
      <w:tr>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W8</w:t>
            </w:r>
          </w:p>
        </w:tc>
        <w:tc>
          <w:tcPr>
            <w:tcW w:type="pct" w:w="2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2026-05-25 〜 2026-05-31</w:t>
            </w:r>
          </w:p>
        </w:tc>
        <w:tc>
          <w:tcPr>
            <w:tcW w:type="pct" w:w="1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243,000,000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69,000,000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406,400,000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206,400,000</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W9</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2026-06-01 〜 2026-06-07</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46,500,000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359,900,000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159,900,000</w:t>
            </w:r>
          </w:p>
        </w:tc>
      </w:tr>
      <w:tr>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W10</w:t>
            </w:r>
          </w:p>
        </w:tc>
        <w:tc>
          <w:tcPr>
            <w:tcW w:type="pct" w:w="2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2026-06-08 〜 2026-06-14</w:t>
            </w:r>
          </w:p>
        </w:tc>
        <w:tc>
          <w:tcPr>
            <w:tcW w:type="pct" w:w="1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14,800,000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345,100,000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145,100,000</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W11</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2026-06-15 〜 2026-06-21</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30,000,000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110,000,000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265,100,000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65,100,000</w:t>
            </w:r>
          </w:p>
        </w:tc>
      </w:tr>
      <w:tr>
        <w:tc>
          <w:tcPr>
            <w:tcW w:type="pct" w:w="10%"/>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W12</w:t>
            </w:r>
          </w:p>
        </w:tc>
        <w:tc>
          <w:tcPr>
            <w:tcW w:type="pct" w:w="2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2026-06-22 〜 2026-06-28</w:t>
            </w:r>
          </w:p>
        </w:tc>
        <w:tc>
          <w:tcPr>
            <w:tcW w:type="pct" w:w="12%"/>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205,000,000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60,100,000</w:t>
            </w:r>
          </w:p>
        </w:tc>
        <w:tc>
          <w:tcPr>
            <w:tcW w:type="pct" w:w="14%"/>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-139,900,000</w:t>
            </w:r>
          </w:p>
        </w:tc>
      </w:tr>
      <w:tr>
        <w:tc>
          <w:tcPr>
            <w:tcW w:type="pct" w:w="10%"/>
            <w:tcMar>
              <w:top w:type="dxa" w:w="30"/>
              <w:left w:type="dxa" w:w="60"/>
              <w:bottom w:type="dxa" w:w="30"/>
              <w:right w:type="dxa" w:w="60"/>
            </w:tcMar>
          </w:tcPr>
          <w:p>
            <w:r>
              <w:rPr>
                <w:rFonts w:ascii="Yu Gothic" w:cs="Yu Gothic" w:eastAsia="Yu Gothic" w:hAnsi="Yu Gothic"/>
                <w:b w:val="false"/>
                <w:bCs w:val="false"/>
                <w:sz w:val="15"/>
                <w:szCs w:val="15"/>
              </w:rPr>
              <w:t xml:space="preserve">W13</w:t>
            </w:r>
          </w:p>
        </w:tc>
        <w:tc>
          <w:tcPr>
            <w:tcW w:type="pct" w:w="22%"/>
            <w:tcMar>
              <w:top w:type="dxa" w:w="30"/>
              <w:left w:type="dxa" w:w="60"/>
              <w:bottom w:type="dxa" w:w="30"/>
              <w:right w:type="dxa" w:w="60"/>
            </w:tcMar>
          </w:tcPr>
          <w:p>
            <w:r>
              <w:rPr>
                <w:rFonts w:ascii="Yu Gothic" w:cs="Yu Gothic" w:eastAsia="Yu Gothic" w:hAnsi="Yu Gothic"/>
                <w:b w:val="false"/>
                <w:bCs w:val="false"/>
                <w:sz w:val="15"/>
                <w:szCs w:val="15"/>
              </w:rPr>
              <w:t xml:space="preserve">2026-06-29 〜 2026-07-05</w:t>
            </w:r>
          </w:p>
        </w:tc>
        <w:tc>
          <w:tcPr>
            <w:tcW w:type="pct" w:w="12%"/>
            <w:tcMar>
              <w:top w:type="dxa" w:w="30"/>
              <w:left w:type="dxa" w:w="60"/>
              <w:bottom w:type="dxa" w:w="30"/>
              <w:right w:type="dxa" w:w="60"/>
            </w:tcMar>
          </w:tcPr>
          <w:p>
            <w:r>
              <w:rPr>
                <w:rFonts w:ascii="Yu Gothic" w:cs="Yu Gothic" w:eastAsia="Yu Gothic" w:hAnsi="Yu Gothic"/>
                <w:b w:val="false"/>
                <w:bCs w:val="false"/>
                <w:sz w:val="15"/>
                <w:szCs w:val="15"/>
              </w:rPr>
              <w:t xml:space="preserve">予定</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198,000,000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105,500,000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152,600,000</w:t>
            </w:r>
          </w:p>
        </w:tc>
        <w:tc>
          <w:tcPr>
            <w:tcW w:type="pct" w:w="14%"/>
            <w:tcMar>
              <w:top w:type="dxa" w:w="30"/>
              <w:left w:type="dxa" w:w="60"/>
              <w:bottom w:type="dxa" w:w="30"/>
              <w:right w:type="dxa" w:w="60"/>
            </w:tcMar>
          </w:tcPr>
          <w:p>
            <w:r>
              <w:rPr>
                <w:rFonts w:ascii="Yu Gothic" w:cs="Yu Gothic" w:eastAsia="Yu Gothic" w:hAnsi="Yu Gothic"/>
                <w:b w:val="false"/>
                <w:bCs w:val="false"/>
                <w:sz w:val="15"/>
                <w:szCs w:val="15"/>
              </w:rPr>
              <w:t xml:space="preserve">-47,400,000</w:t>
            </w:r>
          </w:p>
        </w:tc>
      </w:tr>
    </w:tbl>
    <w:p>
      <w:pPr>
        <w:spacing w:after="60"/>
      </w:pPr>
      <w:r>
        <w:rPr>
          <w:rFonts w:ascii="Yu Gothic" w:cs="Yu Gothic" w:eastAsia="Yu Gothic" w:hAnsi="Yu Gothic"/>
          <w:b w:val="false"/>
          <w:bCs w:val="false"/>
          <w:color w:val="6B7280"/>
          <w:sz w:val="16"/>
          <w:szCs w:val="16"/>
        </w:rPr>
        <w:t xml:space="preserve">※ 入金には、調達の実行を前提とする予定入金が含まれる週があります。</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予定行は利用者が入力した前提であり、当社が実現可能性を検証したものではありません。</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調達を前提とする予定入金を含む期末残高は、当該調達の実行を条件とします。</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祝日は利用者が指定した日のみ非営業日として扱っています。</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調達を前提とする入金が含まれるため、分離して集計します。</w:t>
      </w:r>
    </w:p>
    <w:p>
      <w:pPr>
        <w:pStyle w:val="Heading1"/>
        <w:spacing w:after="90" w:before="240"/>
      </w:pPr>
      <w:r>
        <w:rPr>
          <w:rFonts w:ascii="Yu Gothic" w:cs="Yu Gothic" w:eastAsia="Yu Gothic" w:hAnsi="Yu Gothic"/>
          <w:b/>
          <w:bCs/>
          <w:color w:val="24406B"/>
        </w:rPr>
        <w:t xml:space="preserve">5. 指標の見方</w:t>
      </w:r>
    </w:p>
    <w:p>
      <w:pPr>
        <w:spacing w:after="60"/>
      </w:pPr>
      <w:r>
        <w:rPr>
          <w:rFonts w:ascii="Yu Gothic" w:cs="Yu Gothic" w:eastAsia="Yu Gothic" w:hAnsi="Yu Gothic"/>
          <w:b/>
          <w:bCs/>
          <w:sz w:val="20"/>
          <w:szCs w:val="20"/>
        </w:rPr>
        <w:t xml:space="preserve">債務償還年数</w:t>
      </w:r>
    </w:p>
    <w:p>
      <w:pPr>
        <w:spacing w:after="60"/>
      </w:pPr>
      <w:r>
        <w:rPr>
          <w:rFonts w:ascii="Yu Gothic" w:cs="Yu Gothic" w:eastAsia="Yu Gothic" w:hAnsi="Yu Gothic"/>
          <w:b w:val="false"/>
          <w:bCs w:val="false"/>
          <w:sz w:val="18"/>
          <w:szCs w:val="18"/>
        </w:rPr>
        <w:t xml:space="preserve">有利子負債を、営業活動で生み出すキャッシュフローで割った年数です。返済の負担がどの程度の期間に相当するかを示す指標として、金融機関との対話で用いられます。</w:t>
      </w:r>
    </w:p>
    <w:p>
      <w:pPr>
        <w:spacing w:after="60"/>
      </w:pPr>
      <w:r>
        <w:rPr>
          <w:rFonts w:ascii="Yu Gothic" w:cs="Yu Gothic" w:eastAsia="Yu Gothic" w:hAnsi="Yu Gothic"/>
          <w:b/>
          <w:bCs/>
          <w:sz w:val="20"/>
          <w:szCs w:val="20"/>
        </w:rPr>
        <w:t xml:space="preserve">債務返済カバー率（DSCR）</w:t>
      </w:r>
    </w:p>
    <w:p>
      <w:pPr>
        <w:spacing w:after="60"/>
      </w:pPr>
      <w:r>
        <w:rPr>
          <w:rFonts w:ascii="Yu Gothic" w:cs="Yu Gothic" w:eastAsia="Yu Gothic" w:hAnsi="Yu Gothic"/>
          <w:b w:val="false"/>
          <w:bCs w:val="false"/>
          <w:sz w:val="18"/>
          <w:szCs w:val="18"/>
        </w:rPr>
        <w:t xml:space="preserve">元利金の返済額に対して、返済原資となるキャッシュフローがどの程度あるかを示す比率です。返済計画の説明において、原資の裏付けを示す資料として用いられます。</w:t>
      </w:r>
    </w:p>
    <w:p>
      <w:pPr>
        <w:spacing w:after="60"/>
      </w:pPr>
      <w:r>
        <w:rPr>
          <w:rFonts w:ascii="Yu Gothic" w:cs="Yu Gothic" w:eastAsia="Yu Gothic" w:hAnsi="Yu Gothic"/>
          <w:b/>
          <w:bCs/>
          <w:sz w:val="20"/>
          <w:szCs w:val="20"/>
        </w:rPr>
        <w:t xml:space="preserve">流動比率</w:t>
      </w:r>
    </w:p>
    <w:p>
      <w:pPr>
        <w:spacing w:after="60"/>
      </w:pPr>
      <w:r>
        <w:rPr>
          <w:rFonts w:ascii="Yu Gothic" w:cs="Yu Gothic" w:eastAsia="Yu Gothic" w:hAnsi="Yu Gothic"/>
          <w:b w:val="false"/>
          <w:bCs w:val="false"/>
          <w:sz w:val="18"/>
          <w:szCs w:val="18"/>
        </w:rPr>
        <w:t xml:space="preserve">流動資産を流動負債で割った比率で、短期の支払いに充てられる資産の厚みを表します。短期的な資金の余裕を確認する際の一般的な指標です。</w:t>
      </w:r>
    </w:p>
    <w:p>
      <w:pPr>
        <w:spacing w:after="60"/>
      </w:pPr>
      <w:r>
        <w:rPr>
          <w:rFonts w:ascii="Yu Gothic" w:cs="Yu Gothic" w:eastAsia="Yu Gothic" w:hAnsi="Yu Gothic"/>
          <w:b/>
          <w:bCs/>
          <w:sz w:val="20"/>
          <w:szCs w:val="20"/>
        </w:rPr>
        <w:t xml:space="preserve">自己資本比率</w:t>
      </w:r>
    </w:p>
    <w:p>
      <w:pPr>
        <w:spacing w:after="60"/>
      </w:pPr>
      <w:r>
        <w:rPr>
          <w:rFonts w:ascii="Yu Gothic" w:cs="Yu Gothic" w:eastAsia="Yu Gothic" w:hAnsi="Yu Gothic"/>
          <w:b w:val="false"/>
          <w:bCs w:val="false"/>
          <w:sz w:val="18"/>
          <w:szCs w:val="18"/>
        </w:rPr>
        <w:t xml:space="preserve">総資産に占める自己資本の割合です。財務の安定性を示す一般的な指標として、決算説明の場面で参照されます。</w:t>
      </w:r>
    </w:p>
    <w:p>
      <w:pPr>
        <w:spacing w:after="60"/>
      </w:pPr>
      <w:r>
        <w:rPr>
          <w:rFonts w:ascii="Yu Gothic" w:cs="Yu Gothic" w:eastAsia="Yu Gothic" w:hAnsi="Yu Gothic"/>
          <w:b/>
          <w:bCs/>
          <w:sz w:val="20"/>
          <w:szCs w:val="20"/>
        </w:rPr>
        <w:t xml:space="preserve">営業キャッシュフロー</w:t>
      </w:r>
    </w:p>
    <w:p>
      <w:pPr>
        <w:spacing w:after="60"/>
      </w:pPr>
      <w:r>
        <w:rPr>
          <w:rFonts w:ascii="Yu Gothic" w:cs="Yu Gothic" w:eastAsia="Yu Gothic" w:hAnsi="Yu Gothic"/>
          <w:b w:val="false"/>
          <w:bCs w:val="false"/>
          <w:sz w:val="18"/>
          <w:szCs w:val="18"/>
        </w:rPr>
        <w:t xml:space="preserve">本業の活動から生じた現金の増減です。資金繰りの出発点となる数値で、13週の見通しと合わせて確認します。</w:t>
      </w:r>
    </w:p>
    <w:p>
      <w:pPr>
        <w:pBdr>
          <w:left w:val="single" w:color="24406B" w:sz="18" w:space="8"/>
        </w:pBdr>
        <w:shd w:fill="F3F4F6" w:color="auto" w:val="clear"/>
        <w:spacing w:after="160" w:before="60"/>
      </w:pPr>
      <w:r>
        <w:rPr>
          <w:rFonts w:ascii="Yu Gothic" w:cs="Yu Gothic" w:eastAsia="Yu Gothic" w:hAnsi="Yu Gothic"/>
          <w:color w:val="444444"/>
          <w:sz w:val="16"/>
          <w:szCs w:val="16"/>
        </w:rPr>
        <w:t xml:space="preserve">経営者保証に関するガイドラインでは、法人と経営者の資産・経理の区分、財務基盤、情報開示の状況といった観点が整理されています。個別の取扱いは金融機関との協議によります。</w:t>
      </w:r>
    </w:p>
    <w:p>
      <w:pPr>
        <w:pStyle w:val="Heading1"/>
        <w:spacing w:after="90" w:before="240"/>
      </w:pPr>
      <w:r>
        <w:rPr>
          <w:rFonts w:ascii="Yu Gothic" w:cs="Yu Gothic" w:eastAsia="Yu Gothic" w:hAnsi="Yu Gothic"/>
          <w:b/>
          <w:bCs/>
          <w:color w:val="24406B"/>
        </w:rPr>
        <w:t xml:space="preserve">6. 資料チェックリストと確認事項</w:t>
      </w:r>
    </w:p>
    <w:tbl>
      <w:tblPr>
        <w:tblW w:type="pct" w:w="100%"/>
        <w:tblBorders>
          <w:top w:val="single" w:color="D5DAE2" w:sz="3"/>
          <w:left w:val="single" w:color="D5DAE2" w:sz="3"/>
          <w:bottom w:val="single" w:color="D5DAE2" w:sz="3"/>
          <w:right w:val="single" w:color="D5DAE2" w:sz="3"/>
          <w:insideH w:val="single" w:color="D5DAE2" w:sz="3"/>
          <w:insideV w:val="single" w:color="D5DAE2" w:sz="3"/>
        </w:tblBorders>
      </w:tblPr>
      <w:tblGrid>
        <w:gridCol w:w="100"/>
        <w:gridCol w:w="100"/>
        <w:gridCol w:w="100"/>
      </w:tblGrid>
      <w:tr>
        <w:trPr>
          <w:tblHeader/>
        </w:trPr>
        <w:tc>
          <w:tcPr>
            <w:tcW w:type="pct" w:w="66%"/>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資料</w:t>
            </w:r>
          </w:p>
        </w:tc>
        <w:tc>
          <w:tcPr>
            <w:tcW w:type="pct" w:w="17%"/>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区分</w:t>
            </w:r>
          </w:p>
        </w:tc>
        <w:tc>
          <w:tcPr>
            <w:tcW w:type="pct" w:w="17%"/>
            <w:shd w:fill="24406B" w:color="auto" w:val="clear"/>
            <w:tcMar>
              <w:top w:type="dxa" w:w="30"/>
              <w:left w:type="dxa" w:w="60"/>
              <w:bottom w:type="dxa" w:w="30"/>
              <w:right w:type="dxa" w:w="60"/>
            </w:tcMar>
          </w:tcPr>
          <w:p>
            <w:r>
              <w:rPr>
                <w:rFonts w:ascii="Yu Gothic" w:cs="Yu Gothic" w:eastAsia="Yu Gothic" w:hAnsi="Yu Gothic"/>
                <w:b/>
                <w:bCs/>
                <w:color w:val="FFFFFF"/>
                <w:sz w:val="15"/>
                <w:szCs w:val="15"/>
              </w:rPr>
              <w:t xml:space="preserve">状況</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直近3期の決算書一式</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直近の試算表</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資金繰り実績（直近6か月）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借入金一覧（返済予定表）</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入出金明細（直近3か月）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資金使途の内訳がわかる資料（見積書・発注書等）</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事業計画（今後の見通し）</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任意</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納付予定表（税・社会保険料）</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任意</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工事別採算管理表（受注残・実行予算・進捗度）</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出来高査定表と請求の一覧（入金予定日つき）</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下請への支払一覧（支払条件・支払予定日つき）</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当座貸越の極度額と未使用枠がわかる資料（東都銀行は極度額150百万円を全額使用中）</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JV協定書と直近のJV精算書</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建設業許可の写し・経営事項審査の結果通知書</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用意済み</w:t>
            </w:r>
          </w:p>
        </w:tc>
      </w:tr>
      <w:tr>
        <w:tc>
          <w:tcPr>
            <w:tcW w:type="pct" w:w="66%"/>
            <w:tcMar>
              <w:top w:type="dxa" w:w="30"/>
              <w:left w:type="dxa" w:w="60"/>
              <w:bottom w:type="dxa" w:w="30"/>
              <w:right w:type="dxa" w:w="60"/>
            </w:tcMar>
          </w:tcPr>
          <w:p>
            <w:r>
              <w:rPr>
                <w:rFonts w:ascii="Yu Gothic" w:cs="Yu Gothic" w:eastAsia="Yu Gothic" w:hAnsi="Yu Gothic"/>
                <w:b w:val="false"/>
                <w:bCs w:val="false"/>
                <w:sz w:val="15"/>
                <w:szCs w:val="15"/>
              </w:rPr>
              <w:t xml:space="preserve">取締役会議事録・借入稟議書（1億円以上の借入は取締役会決議）</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必須</w:t>
            </w:r>
          </w:p>
        </w:tc>
        <w:tc>
          <w:tcPr>
            <w:tcW w:type="pct" w:w="17%"/>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r>
        <w:tc>
          <w:tcPr>
            <w:tcW w:type="pct" w:w="66%"/>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工事損失が見込まれる工事の一覧と引当金の計算根拠</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任意</w:t>
            </w:r>
          </w:p>
        </w:tc>
        <w:tc>
          <w:tcPr>
            <w:tcW w:type="pct" w:w="17%"/>
            <w:shd w:fill="F3F4F6" w:color="auto" w:val="clear"/>
            <w:tcMar>
              <w:top w:type="dxa" w:w="30"/>
              <w:left w:type="dxa" w:w="60"/>
              <w:bottom w:type="dxa" w:w="30"/>
              <w:right w:type="dxa" w:w="60"/>
            </w:tcMar>
          </w:tcPr>
          <w:p>
            <w:r>
              <w:rPr>
                <w:rFonts w:ascii="Yu Gothic" w:cs="Yu Gothic" w:eastAsia="Yu Gothic" w:hAnsi="Yu Gothic"/>
                <w:b w:val="false"/>
                <w:bCs w:val="false"/>
                <w:sz w:val="15"/>
                <w:szCs w:val="15"/>
              </w:rPr>
              <w:t xml:space="preserve">未</w:t>
            </w:r>
          </w:p>
        </w:tc>
      </w:tr>
    </w:tbl>
    <w:p>
      <w:pPr>
        <w:spacing w:after="60"/>
      </w:pPr>
      <w:r>
        <w:rPr>
          <w:rFonts w:ascii="Yu Gothic" w:cs="Yu Gothic" w:eastAsia="Yu Gothic" w:hAnsi="Yu Gothic"/>
          <w:b/>
          <w:bCs/>
          <w:sz w:val="20"/>
          <w:szCs w:val="20"/>
        </w:rPr>
        <w:t xml:space="preserve">税理士確認事項</w:t>
      </w:r>
    </w:p>
    <w:p>
      <w:pPr>
        <w:spacing w:after="60"/>
      </w:pPr>
      <w:r>
        <w:rPr>
          <w:rFonts w:ascii="Yu Gothic" w:cs="Yu Gothic" w:eastAsia="Yu Gothic" w:hAnsi="Yu Gothic"/>
          <w:b w:val="false"/>
          <w:bCs w:val="false"/>
          <w:sz w:val="18"/>
          <w:szCs w:val="18"/>
        </w:rPr>
        <w:t xml:space="preserve">納付の時期・取扱いなど税務に接する事項は、本書では判断せず税理士にご確認ください。</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Yu Gothic" w:cs="Yu Gothic" w:eastAsia="Yu Gothic" w:hAnsi="Yu Gothic"/>
        <w:sz w:val="14"/>
        <w:szCs w:val="14"/>
      </w:rPr>
      <w:t xml:space="preserve"/>
    </w:r>
    <w:r>
      <w:rPr>
        <w:rFonts w:ascii="Yu Gothic" w:cs="Yu Gothic" w:eastAsia="Yu Gothic" w:hAnsi="Yu Gothic"/>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2026-09-24T05:38:39.499Z</dcterms:created>
  <dcterms:modified xsi:type="dcterms:W3CDTF">2026-09-24T05:38:39.499Z</dcterms:modified>
</cp:coreProperties>
</file>

<file path=docProps/custom.xml><?xml version="1.0" encoding="utf-8"?>
<Properties xmlns="http://schemas.openxmlformats.org/officeDocument/2006/custom-properties" xmlns:vt="http://schemas.openxmlformats.org/officeDocument/2006/docPropsVTypes"/>
</file>