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240"/>
        <w:jc w:val="center"/>
      </w:pPr>
      <w:r>
        <w:rPr>
          <w:rFonts w:ascii="Yu Gothic" w:cs="Yu Gothic" w:eastAsia="Yu Gothic" w:hAnsi="Yu Gothic"/>
          <w:b/>
          <w:bCs/>
          <w:sz w:val="30"/>
          <w:szCs w:val="30"/>
        </w:rPr>
        <w:t xml:space="preserve">サンプル製造株式会社</w:t>
      </w:r>
    </w:p>
    <w:p>
      <w:pPr>
        <w:spacing w:after="20"/>
        <w:jc w:val="center"/>
      </w:pPr>
      <w:r>
        <w:rPr>
          <w:rFonts w:ascii="Yu Gothic" w:cs="Yu Gothic" w:eastAsia="Yu Gothic" w:hAnsi="Yu Gothic"/>
          <w:sz w:val="20"/>
          <w:szCs w:val="20"/>
        </w:rPr>
        <w:t xml:space="preserve">開示パッケージ　／　2026年3月期（自2025年4月1日 至2026年3月31日）・会社法・金融商品取引法／日本基準（連結）</w:t>
      </w:r>
    </w:p>
    <w:p>
      <w:pPr>
        <w:spacing w:after="160"/>
        <w:jc w:val="center"/>
      </w:pPr>
      <w:r>
        <w:rPr>
          <w:rFonts w:ascii="Yu Gothic" w:cs="Yu Gothic" w:eastAsia="Yu Gothic" w:hAnsi="Yu Gothic"/>
          <w:color w:val="8A8170"/>
          <w:sz w:val="15"/>
          <w:szCs w:val="15"/>
        </w:rPr>
        <w:t xml:space="preserve">対象様式：有価証券報告書（連結財務諸表）の注記ドラフト。重点はセグメント情報、棚卸資産（収益性低下）、固定資産の減損、退職給付、税効果。会計士レビュー前提のドラフト。（AI生成ドラフト・会計士レビュー前提）</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tblGrid>
      <w:tr>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作成者</w:t>
            </w:r>
          </w:p>
        </w:tc>
        <w:tc>
          <w:tcPr>
            <w:tcW w:type="pct" w:w="32%"/>
            <w:tcMar>
              <w:top w:type="dxa" w:w="30"/>
              <w:left w:type="dxa" w:w="60"/>
              <w:bottom w:type="dxa" w:w="30"/>
              <w:right w:type="dxa" w:w="60"/>
            </w:tcMar>
          </w:tcPr>
          <w:p>
            <w:r>
              <w:rPr>
                <w:rFonts w:ascii="Yu Gothic" w:cs="Yu Gothic" w:eastAsia="Yu Gothic" w:hAnsi="Yu Gothic"/>
                <w:b w:val="false"/>
                <w:bCs w:val="false"/>
                <w:sz w:val="15"/>
                <w:szCs w:val="15"/>
              </w:rPr>
              <w:t xml:space="preserve"/>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査閲者</w:t>
            </w:r>
          </w:p>
        </w:tc>
        <w:tc>
          <w:tcPr>
            <w:tcW w:type="pct" w:w="32%"/>
            <w:tcMar>
              <w:top w:type="dxa" w:w="30"/>
              <w:left w:type="dxa" w:w="60"/>
              <w:bottom w:type="dxa" w:w="30"/>
              <w:right w:type="dxa" w:w="60"/>
            </w:tcMar>
          </w:tcPr>
          <w:p>
            <w:r>
              <w:rPr>
                <w:rFonts w:ascii="Yu Gothic" w:cs="Yu Gothic" w:eastAsia="Yu Gothic" w:hAnsi="Yu Gothic"/>
                <w:b w:val="false"/>
                <w:bCs w:val="false"/>
                <w:sz w:val="15"/>
                <w:szCs w:val="15"/>
              </w:rPr>
              <w:t xml:space="preserve"/>
            </w:r>
          </w:p>
        </w:tc>
      </w:tr>
    </w:tbl>
    <w:p>
      <w:pPr>
        <w:pStyle w:val="Heading1"/>
        <w:spacing w:after="80" w:before="280"/>
      </w:pPr>
      <w:r>
        <w:rPr>
          <w:rFonts w:ascii="Yu Gothic" w:cs="Yu Gothic" w:eastAsia="Yu Gothic" w:hAnsi="Yu Gothic"/>
          <w:b/>
          <w:bCs/>
        </w:rPr>
        <w:t xml:space="preserve">1. 注記・開示項目</w:t>
      </w:r>
    </w:p>
    <w:p>
      <w:pPr>
        <w:pStyle w:val="Heading2"/>
        <w:spacing w:after="60" w:before="220"/>
      </w:pPr>
      <w:r>
        <w:rPr>
          <w:rFonts w:ascii="Yu Gothic" w:cs="Yu Gothic" w:eastAsia="Yu Gothic" w:hAnsi="Yu Gothic"/>
          <w:b/>
          <w:bCs/>
        </w:rPr>
        <w:t xml:space="preserve">重要な会計方針</w:t>
      </w:r>
    </w:p>
    <w:p>
      <w:pPr>
        <w:pStyle w:val="Heading3"/>
        <w:spacing w:after="60" w:before="200"/>
      </w:pPr>
      <w:r>
        <w:rPr>
          <w:rFonts w:ascii="Yu Gothic" w:cs="Yu Gothic" w:eastAsia="Yu Gothic" w:hAnsi="Yu Gothic"/>
          <w:b/>
          <w:bCs/>
        </w:rPr>
        <w:t xml:space="preserve">N-01　連結の範囲・持分法・会計方針（要検討・XBRL: jpcrp_cor:NotesSignificantAccountingPoliciesForPreparationOfConsolidatedFinancialStatements）</w:t>
      </w:r>
    </w:p>
    <w:p>
      <w:pPr>
        <w:spacing w:after="60"/>
      </w:pPr>
      <w:r>
        <w:rPr>
          <w:rFonts w:ascii="Yu Gothic" w:cs="Yu Gothic" w:eastAsia="Yu Gothic" w:hAnsi="Yu Gothic"/>
          <w:b w:val="false"/>
          <w:bCs w:val="false"/>
          <w:sz w:val="18"/>
          <w:szCs w:val="18"/>
        </w:rPr>
        <w:t xml:space="preserve">開示要求：連結の範囲、持分法適用範囲、会計処理基準（棚卸資産評価、固定資産減価償却、引当金、収益認識、外貨換算等）の記載。</w:t>
      </w:r>
    </w:p>
    <w:p>
      <w:pPr>
        <w:spacing w:after="60"/>
      </w:pPr>
      <w:r>
        <w:rPr>
          <w:rFonts w:ascii="Yu Gothic" w:cs="Yu Gothic" w:eastAsia="Yu Gothic" w:hAnsi="Yu Gothic"/>
          <w:b w:val="false"/>
          <w:bCs w:val="false"/>
          <w:sz w:val="18"/>
          <w:szCs w:val="18"/>
        </w:rPr>
        <w:t xml:space="preserve">該当性：該当（連結財務諸表作成会社）</w:t>
      </w:r>
    </w:p>
    <w:p>
      <w:pPr>
        <w:spacing w:after="60"/>
      </w:pPr>
      <w:r>
        <w:rPr>
          <w:rFonts w:ascii="Yu Gothic" w:cs="Yu Gothic" w:eastAsia="Yu Gothic" w:hAnsi="Yu Gothic"/>
          <w:b w:val="false"/>
          <w:bCs w:val="false"/>
          <w:sz w:val="18"/>
          <w:szCs w:val="18"/>
        </w:rPr>
        <w:t xml:space="preserve">記載ドラフト：連結子会社○社、持分法適用関連会社○社。棚卸資産は標準原価をもって計上し原則として原価法（収益性低下による簿価切下げ）。有形固定資産は定額法（一部定率法）。在外子会社の収益費用は期中平均相場、資産負債は決算日相場で換算し、換算差額は為替換算調整勘定に計上。</w:t>
      </w:r>
    </w:p>
    <w:p>
      <w:pPr>
        <w:spacing w:after="60"/>
      </w:pPr>
      <w:r>
        <w:rPr>
          <w:rFonts w:ascii="Yu Gothic" w:cs="Yu Gothic" w:eastAsia="Yu Gothic" w:hAnsi="Yu Gothic"/>
          <w:b w:val="false"/>
          <w:bCs w:val="false"/>
          <w:sz w:val="18"/>
          <w:szCs w:val="18"/>
        </w:rPr>
        <w:t xml:space="preserve">チェック観点：・連結範囲の異動（新規・除外）の有無と理由の開示 ・機能通貨・換算方法の継続性 ・収益認識方針（出荷基準＝検収まで重要性判断）の記載整合</w:t>
      </w:r>
    </w:p>
    <w:p>
      <w:pPr>
        <w:spacing w:after="60"/>
      </w:pPr>
      <w:r>
        <w:rPr>
          <w:rFonts w:ascii="Yu Gothic" w:cs="Yu Gothic" w:eastAsia="Yu Gothic" w:hAnsi="Yu Gothic"/>
          <w:b w:val="false"/>
          <w:bCs w:val="false"/>
          <w:sz w:val="18"/>
          <w:szCs w:val="18"/>
        </w:rPr>
        <w:t xml:space="preserve">前年比・整合：前期から連結範囲・主要な会計方針の変更なし（変更がある場合は会計方針変更注記へ）。</w:t>
      </w:r>
    </w:p>
    <w:p>
      <w:pPr>
        <w:pStyle w:val="Heading2"/>
        <w:spacing w:after="60" w:before="220"/>
      </w:pPr>
      <w:r>
        <w:rPr>
          <w:rFonts w:ascii="Yu Gothic" w:cs="Yu Gothic" w:eastAsia="Yu Gothic" w:hAnsi="Yu Gothic"/>
          <w:b/>
          <w:bCs/>
        </w:rPr>
        <w:t xml:space="preserve">会計上の見積り</w:t>
      </w:r>
    </w:p>
    <w:p>
      <w:pPr>
        <w:pStyle w:val="Heading3"/>
        <w:spacing w:after="60" w:before="200"/>
      </w:pPr>
      <w:r>
        <w:rPr>
          <w:rFonts w:ascii="Yu Gothic" w:cs="Yu Gothic" w:eastAsia="Yu Gothic" w:hAnsi="Yu Gothic"/>
          <w:b/>
          <w:bCs/>
        </w:rPr>
        <w:t xml:space="preserve">N-02　重要な会計上の見積り（要検討・XBRL: jpcrp_cor:NotesAccountingEstimatesConsolidated）</w:t>
      </w:r>
    </w:p>
    <w:p>
      <w:pPr>
        <w:spacing w:after="60"/>
      </w:pPr>
      <w:r>
        <w:rPr>
          <w:rFonts w:ascii="Yu Gothic" w:cs="Yu Gothic" w:eastAsia="Yu Gothic" w:hAnsi="Yu Gothic"/>
          <w:b w:val="false"/>
          <w:bCs w:val="false"/>
          <w:sz w:val="18"/>
          <w:szCs w:val="18"/>
        </w:rPr>
        <w:t xml:space="preserve">開示要求：当年度の連結財務諸表に重要な影響を及ぼす見積りについて、項目名、金額、見積り内容・主要な仮定・翌年度への影響を記載（企業会計基準第31号）。</w:t>
      </w:r>
    </w:p>
    <w:p>
      <w:pPr>
        <w:spacing w:after="60"/>
      </w:pPr>
      <w:r>
        <w:rPr>
          <w:rFonts w:ascii="Yu Gothic" w:cs="Yu Gothic" w:eastAsia="Yu Gothic" w:hAnsi="Yu Gothic"/>
          <w:b w:val="false"/>
          <w:bCs w:val="false"/>
          <w:sz w:val="18"/>
          <w:szCs w:val="18"/>
        </w:rPr>
        <w:t xml:space="preserve">該当性：該当</w:t>
      </w:r>
    </w:p>
    <w:p>
      <w:pPr>
        <w:spacing w:after="60"/>
      </w:pPr>
      <w:r>
        <w:rPr>
          <w:rFonts w:ascii="Yu Gothic" w:cs="Yu Gothic" w:eastAsia="Yu Gothic" w:hAnsi="Yu Gothic"/>
          <w:b w:val="false"/>
          <w:bCs w:val="false"/>
          <w:sz w:val="18"/>
          <w:szCs w:val="18"/>
        </w:rPr>
        <w:t xml:space="preserve">記載ドラフト：重要な会計上の見積りとして①棚卸資産の収益性低下による簿価切下げ、②固定資産の減損、③退職給付債務、④繰延税金資産の回収可能性を識別。各々の当期計上額、見積り方法、主要仮定（将来需要・販売価格、割引率、長期収益予測）を記載。</w:t>
      </w:r>
    </w:p>
    <w:p>
      <w:pPr>
        <w:spacing w:after="60"/>
      </w:pPr>
      <w:r>
        <w:rPr>
          <w:rFonts w:ascii="Yu Gothic" w:cs="Yu Gothic" w:eastAsia="Yu Gothic" w:hAnsi="Yu Gothic"/>
          <w:b w:val="false"/>
          <w:bCs w:val="false"/>
          <w:sz w:val="18"/>
          <w:szCs w:val="18"/>
        </w:rPr>
        <w:t xml:space="preserve">チェック観点：・4項目の網羅と金額の財表本表との一致 ・主要仮定（割引率・成長率・販売数量見込）の具体的記載 ・翌年度に与える影響（感応度）の記載</w:t>
      </w:r>
    </w:p>
    <w:p>
      <w:pPr>
        <w:spacing w:after="60"/>
      </w:pPr>
      <w:r>
        <w:rPr>
          <w:rFonts w:ascii="Yu Gothic" w:cs="Yu Gothic" w:eastAsia="Yu Gothic" w:hAnsi="Yu Gothic"/>
          <w:b w:val="false"/>
          <w:bCs w:val="false"/>
          <w:sz w:val="18"/>
          <w:szCs w:val="18"/>
        </w:rPr>
        <w:t xml:space="preserve">前年比・整合：前期と同一の4項目を継続記載。仮定値の前年比変動（割引率等）を明示。</w:t>
      </w:r>
    </w:p>
    <w:p>
      <w:pPr>
        <w:pStyle w:val="Heading2"/>
        <w:spacing w:after="60" w:before="220"/>
      </w:pPr>
      <w:r>
        <w:rPr>
          <w:rFonts w:ascii="Yu Gothic" w:cs="Yu Gothic" w:eastAsia="Yu Gothic" w:hAnsi="Yu Gothic"/>
          <w:b/>
          <w:bCs/>
        </w:rPr>
        <w:t xml:space="preserve">セグメント情報</w:t>
      </w:r>
    </w:p>
    <w:p>
      <w:pPr>
        <w:pStyle w:val="Heading3"/>
        <w:spacing w:after="60" w:before="200"/>
      </w:pPr>
      <w:r>
        <w:rPr>
          <w:rFonts w:ascii="Yu Gothic" w:cs="Yu Gothic" w:eastAsia="Yu Gothic" w:hAnsi="Yu Gothic"/>
          <w:b/>
          <w:bCs/>
        </w:rPr>
        <w:t xml:space="preserve">N-03　報告セグメント・関連情報（要検討・XBRL: jpcrp_cor:NotesSegmentInformationEtcConsolidated）</w:t>
      </w:r>
    </w:p>
    <w:p>
      <w:pPr>
        <w:spacing w:after="60"/>
      </w:pPr>
      <w:r>
        <w:rPr>
          <w:rFonts w:ascii="Yu Gothic" w:cs="Yu Gothic" w:eastAsia="Yu Gothic" w:hAnsi="Yu Gothic"/>
          <w:b w:val="false"/>
          <w:bCs w:val="false"/>
          <w:sz w:val="18"/>
          <w:szCs w:val="18"/>
        </w:rPr>
        <w:t xml:space="preserve">開示要求：報告セグメントの概要、利益又は損失・資産・負債・その他項目、製品/サービス別・地域別・主要顧客情報の開示（企業会計基準第17号）。</w:t>
      </w:r>
    </w:p>
    <w:p>
      <w:pPr>
        <w:spacing w:after="60"/>
      </w:pPr>
      <w:r>
        <w:rPr>
          <w:rFonts w:ascii="Yu Gothic" w:cs="Yu Gothic" w:eastAsia="Yu Gothic" w:hAnsi="Yu Gothic"/>
          <w:b w:val="false"/>
          <w:bCs w:val="false"/>
          <w:sz w:val="18"/>
          <w:szCs w:val="18"/>
        </w:rPr>
        <w:t xml:space="preserve">該当性：該当</w:t>
      </w:r>
    </w:p>
    <w:p>
      <w:pPr>
        <w:spacing w:after="60"/>
      </w:pPr>
      <w:r>
        <w:rPr>
          <w:rFonts w:ascii="Yu Gothic" w:cs="Yu Gothic" w:eastAsia="Yu Gothic" w:hAnsi="Yu Gothic"/>
          <w:b w:val="false"/>
          <w:bCs w:val="false"/>
          <w:sz w:val="18"/>
          <w:szCs w:val="18"/>
        </w:rPr>
        <w:t xml:space="preserve">記載ドラフト：報告セグメントを製品群別（又は地域別）に区分。各セグメントの売上高（外部・セグメント間）、セグメント利益、資産、減価償却費、減損損失、のれん、設備投資額を記載。地域別売上高・有形固定資産、主要顧客（売上高10%以上）の情報を併記。</w:t>
      </w:r>
    </w:p>
    <w:p>
      <w:pPr>
        <w:spacing w:after="60"/>
      </w:pPr>
      <w:r>
        <w:rPr>
          <w:rFonts w:ascii="Yu Gothic" w:cs="Yu Gothic" w:eastAsia="Yu Gothic" w:hAnsi="Yu Gothic"/>
          <w:b w:val="false"/>
          <w:bCs w:val="false"/>
          <w:sz w:val="18"/>
          <w:szCs w:val="18"/>
        </w:rPr>
        <w:t xml:space="preserve">チェック観点：・セグメント利益合計とP/L営業利益の調整表整合 ・セグメント資産合計とB/S総資産の調整整合 ・地域区分・主要顧客の前年比継続性 ・減損損失のセグメント別開示とN-05整合</w:t>
      </w:r>
    </w:p>
    <w:p>
      <w:pPr>
        <w:spacing w:after="60"/>
      </w:pPr>
      <w:r>
        <w:rPr>
          <w:rFonts w:ascii="Yu Gothic" w:cs="Yu Gothic" w:eastAsia="Yu Gothic" w:hAnsi="Yu Gothic"/>
          <w:b w:val="false"/>
          <w:bCs w:val="false"/>
          <w:sz w:val="18"/>
          <w:szCs w:val="18"/>
        </w:rPr>
        <w:t xml:space="preserve">前年比・整合：報告セグメントの区分方法に変更なし（変更時は前期組替表示を要追加）。</w:t>
      </w:r>
    </w:p>
    <w:p>
      <w:pPr>
        <w:pStyle w:val="Heading2"/>
        <w:spacing w:after="60" w:before="220"/>
      </w:pPr>
      <w:r>
        <w:rPr>
          <w:rFonts w:ascii="Yu Gothic" w:cs="Yu Gothic" w:eastAsia="Yu Gothic" w:hAnsi="Yu Gothic"/>
          <w:b/>
          <w:bCs/>
        </w:rPr>
        <w:t xml:space="preserve">棚卸資産</w:t>
      </w:r>
    </w:p>
    <w:p>
      <w:pPr>
        <w:pStyle w:val="Heading3"/>
        <w:spacing w:after="60" w:before="200"/>
      </w:pPr>
      <w:r>
        <w:rPr>
          <w:rFonts w:ascii="Yu Gothic" w:cs="Yu Gothic" w:eastAsia="Yu Gothic" w:hAnsi="Yu Gothic"/>
          <w:b/>
          <w:bCs/>
        </w:rPr>
        <w:t xml:space="preserve">N-04　棚卸資産の収益性低下に伴う簿価切下げ（要検討・XBRL: jpcrp_cor:InventoriesWriteDownAmount／jppfs_cor:Inventories）</w:t>
      </w:r>
    </w:p>
    <w:p>
      <w:pPr>
        <w:spacing w:after="60"/>
      </w:pPr>
      <w:r>
        <w:rPr>
          <w:rFonts w:ascii="Yu Gothic" w:cs="Yu Gothic" w:eastAsia="Yu Gothic" w:hAnsi="Yu Gothic"/>
          <w:b w:val="false"/>
          <w:bCs w:val="false"/>
          <w:sz w:val="18"/>
          <w:szCs w:val="18"/>
        </w:rPr>
        <w:t xml:space="preserve">開示要求：通常の販売目的で保有する棚卸資産の収益性低下による簿価切下げ額（売上原価算入額）、貸借対照表計上額の内訳を開示（企業会計基準第9号）。</w:t>
      </w:r>
    </w:p>
    <w:p>
      <w:pPr>
        <w:spacing w:after="60"/>
      </w:pPr>
      <w:r>
        <w:rPr>
          <w:rFonts w:ascii="Yu Gothic" w:cs="Yu Gothic" w:eastAsia="Yu Gothic" w:hAnsi="Yu Gothic"/>
          <w:b w:val="false"/>
          <w:bCs w:val="false"/>
          <w:sz w:val="18"/>
          <w:szCs w:val="18"/>
        </w:rPr>
        <w:t xml:space="preserve">該当性：該当（製造業：原材料・仕掛品・完成品）</w:t>
      </w:r>
    </w:p>
    <w:p>
      <w:pPr>
        <w:spacing w:after="60"/>
      </w:pPr>
      <w:r>
        <w:rPr>
          <w:rFonts w:ascii="Yu Gothic" w:cs="Yu Gothic" w:eastAsia="Yu Gothic" w:hAnsi="Yu Gothic"/>
          <w:b w:val="false"/>
          <w:bCs w:val="false"/>
          <w:sz w:val="18"/>
          <w:szCs w:val="18"/>
        </w:rPr>
        <w:t xml:space="preserve">記載ドラフト：棚卸資産の貸借対照表計上額は収益性低下による簿価切下後の金額。当期の簿価切下額（戻入相殺後）○百万円を売上原価に計上。技術陳腐化・滞留在庫について正味売却価額に基づき評価減を実施。区分別（原材料・仕掛品・製品）残高を注記。</w:t>
      </w:r>
    </w:p>
    <w:p>
      <w:pPr>
        <w:spacing w:after="60"/>
      </w:pPr>
      <w:r>
        <w:rPr>
          <w:rFonts w:ascii="Yu Gothic" w:cs="Yu Gothic" w:eastAsia="Yu Gothic" w:hAnsi="Yu Gothic"/>
          <w:b w:val="false"/>
          <w:bCs w:val="false"/>
          <w:sz w:val="18"/>
          <w:szCs w:val="18"/>
        </w:rPr>
        <w:t xml:space="preserve">チェック観点：・簿価切下額のP/L売上原価への算入と注記の整合 ・標準原価差異の期末配賦・実績調整の妥当性 ・滞留・陳腐化在庫の評価基準（保管期間・需要見込）の一貫性 ・区分別残高合計とB/S棚卸資産の一致</w:t>
      </w:r>
    </w:p>
    <w:p>
      <w:pPr>
        <w:spacing w:after="60"/>
      </w:pPr>
      <w:r>
        <w:rPr>
          <w:rFonts w:ascii="Yu Gothic" w:cs="Yu Gothic" w:eastAsia="Yu Gothic" w:hAnsi="Yu Gothic"/>
          <w:b w:val="false"/>
          <w:bCs w:val="false"/>
          <w:sz w:val="18"/>
          <w:szCs w:val="18"/>
        </w:rPr>
        <w:t xml:space="preserve">前年比・整合：前期切下額との比較、戻入の有無を確認。陳腐化判定基準の継続性。</w:t>
      </w:r>
    </w:p>
    <w:p>
      <w:pPr>
        <w:pStyle w:val="Heading2"/>
        <w:spacing w:after="60" w:before="220"/>
      </w:pPr>
      <w:r>
        <w:rPr>
          <w:rFonts w:ascii="Yu Gothic" w:cs="Yu Gothic" w:eastAsia="Yu Gothic" w:hAnsi="Yu Gothic"/>
          <w:b/>
          <w:bCs/>
        </w:rPr>
        <w:t xml:space="preserve">固定資産</w:t>
      </w:r>
    </w:p>
    <w:p>
      <w:pPr>
        <w:pStyle w:val="Heading3"/>
        <w:spacing w:after="60" w:before="200"/>
      </w:pPr>
      <w:r>
        <w:rPr>
          <w:rFonts w:ascii="Yu Gothic" w:cs="Yu Gothic" w:eastAsia="Yu Gothic" w:hAnsi="Yu Gothic"/>
          <w:b/>
          <w:bCs/>
        </w:rPr>
        <w:t xml:space="preserve">N-05　固定資産の減損損失（要検討・XBRL: jpcrp_cor:NotesImpairmentLossConsolidated／jppfs_cor:ImpairmentLossOfNoncurrentAssets）</w:t>
      </w:r>
    </w:p>
    <w:p>
      <w:pPr>
        <w:spacing w:after="60"/>
      </w:pPr>
      <w:r>
        <w:rPr>
          <w:rFonts w:ascii="Yu Gothic" w:cs="Yu Gothic" w:eastAsia="Yu Gothic" w:hAnsi="Yu Gothic"/>
          <w:b w:val="false"/>
          <w:bCs w:val="false"/>
          <w:sz w:val="18"/>
          <w:szCs w:val="18"/>
        </w:rPr>
        <w:t xml:space="preserve">開示要求：減損損失を認識した資産グループの概要、用途、種類、金額（種類別内訳）、回収可能価額の算定方法（正味売却価額／使用価値・割引率）を開示（固定資産の減損に係る会計基準）。</w:t>
      </w:r>
    </w:p>
    <w:p>
      <w:pPr>
        <w:spacing w:after="60"/>
      </w:pPr>
      <w:r>
        <w:rPr>
          <w:rFonts w:ascii="Yu Gothic" w:cs="Yu Gothic" w:eastAsia="Yu Gothic" w:hAnsi="Yu Gothic"/>
          <w:b w:val="false"/>
          <w:bCs w:val="false"/>
          <w:sz w:val="18"/>
          <w:szCs w:val="18"/>
        </w:rPr>
        <w:t xml:space="preserve">該当性：該当（兆候あり時）</w:t>
      </w:r>
    </w:p>
    <w:p>
      <w:pPr>
        <w:spacing w:after="60"/>
      </w:pPr>
      <w:r>
        <w:rPr>
          <w:rFonts w:ascii="Yu Gothic" w:cs="Yu Gothic" w:eastAsia="Yu Gothic" w:hAnsi="Yu Gothic"/>
          <w:b w:val="false"/>
          <w:bCs w:val="false"/>
          <w:sz w:val="18"/>
          <w:szCs w:val="18"/>
        </w:rPr>
        <w:t xml:space="preserve">記載ドラフト：営業活動から生ずる損益が継続マイナスの資産グループ等について減損の兆候を判定。回収可能価額まで帳簿価額を減額し、減損損失○百万円を特別損失に計上。グルーピングは管理会計上の事業区分（製造拠点単位）。使用価値は将来CFを割引率○%で算定。</w:t>
      </w:r>
    </w:p>
    <w:p>
      <w:pPr>
        <w:spacing w:after="60"/>
      </w:pPr>
      <w:r>
        <w:rPr>
          <w:rFonts w:ascii="Yu Gothic" w:cs="Yu Gothic" w:eastAsia="Yu Gothic" w:hAnsi="Yu Gothic"/>
          <w:b w:val="false"/>
          <w:bCs w:val="false"/>
          <w:sz w:val="18"/>
          <w:szCs w:val="18"/>
        </w:rPr>
        <w:t xml:space="preserve">チェック観点：・グルーピング方針とセグメントの整合 ・割引率・将来CF前提の合理性と前期継続性 ・減損損失の種類別（建物・機械装置・土地等）内訳 ・P/L特別損失・C/F・セグメント注記との整合</w:t>
      </w:r>
    </w:p>
    <w:p>
      <w:pPr>
        <w:spacing w:after="60"/>
      </w:pPr>
      <w:r>
        <w:rPr>
          <w:rFonts w:ascii="Yu Gothic" w:cs="Yu Gothic" w:eastAsia="Yu Gothic" w:hAnsi="Yu Gothic"/>
          <w:b w:val="false"/>
          <w:bCs w:val="false"/>
          <w:sz w:val="18"/>
          <w:szCs w:val="18"/>
        </w:rPr>
        <w:t xml:space="preserve">前年比・整合：前期減損計上資産の状況と当期追加・戻入（日本基準は戻入不可）の有無。</w:t>
      </w:r>
    </w:p>
    <w:p>
      <w:pPr>
        <w:pStyle w:val="Heading2"/>
        <w:spacing w:after="60" w:before="220"/>
      </w:pPr>
      <w:r>
        <w:rPr>
          <w:rFonts w:ascii="Yu Gothic" w:cs="Yu Gothic" w:eastAsia="Yu Gothic" w:hAnsi="Yu Gothic"/>
          <w:b/>
          <w:bCs/>
        </w:rPr>
        <w:t xml:space="preserve">退職給付</w:t>
      </w:r>
    </w:p>
    <w:p>
      <w:pPr>
        <w:pStyle w:val="Heading3"/>
        <w:spacing w:after="60" w:before="200"/>
      </w:pPr>
      <w:r>
        <w:rPr>
          <w:rFonts w:ascii="Yu Gothic" w:cs="Yu Gothic" w:eastAsia="Yu Gothic" w:hAnsi="Yu Gothic"/>
          <w:b/>
          <w:bCs/>
        </w:rPr>
        <w:t xml:space="preserve">N-06　退職給付に関する注記（要検討・XBRL: jpcrp_cor:NotesRetirementBenefitsConsolidated）</w:t>
      </w:r>
    </w:p>
    <w:p>
      <w:pPr>
        <w:spacing w:after="60"/>
      </w:pPr>
      <w:r>
        <w:rPr>
          <w:rFonts w:ascii="Yu Gothic" w:cs="Yu Gothic" w:eastAsia="Yu Gothic" w:hAnsi="Yu Gothic"/>
          <w:b w:val="false"/>
          <w:bCs w:val="false"/>
          <w:sz w:val="18"/>
          <w:szCs w:val="18"/>
        </w:rPr>
        <w:t xml:space="preserve">開示要求：制度の概要、退職給付債務・年金資産の期首期末調整表、退職給付費用の内訳、数理計算上の主要前提（割引率・長期期待運用収益率）等を開示（企業会計基準第26号）。</w:t>
      </w:r>
    </w:p>
    <w:p>
      <w:pPr>
        <w:spacing w:after="60"/>
      </w:pPr>
      <w:r>
        <w:rPr>
          <w:rFonts w:ascii="Yu Gothic" w:cs="Yu Gothic" w:eastAsia="Yu Gothic" w:hAnsi="Yu Gothic"/>
          <w:b w:val="false"/>
          <w:bCs w:val="false"/>
          <w:sz w:val="18"/>
          <w:szCs w:val="18"/>
        </w:rPr>
        <w:t xml:space="preserve">該当性：該当</w:t>
      </w:r>
    </w:p>
    <w:p>
      <w:pPr>
        <w:spacing w:after="60"/>
      </w:pPr>
      <w:r>
        <w:rPr>
          <w:rFonts w:ascii="Yu Gothic" w:cs="Yu Gothic" w:eastAsia="Yu Gothic" w:hAnsi="Yu Gothic"/>
          <w:b w:val="false"/>
          <w:bCs w:val="false"/>
          <w:sz w:val="18"/>
          <w:szCs w:val="18"/>
        </w:rPr>
        <w:t xml:space="preserve">記載ドラフト：確定給付制度（及び確定拠出制度）を採用。退職給付債務の期首残高に勤務費用・利息費用・数理計算上の差異等を加減し期末残高を算定。年金資産の期首期末調整、積立状況とB/S計上額の関係、退職給付費用の内訳、割引率○%・長期期待運用収益率○%を注記。</w:t>
      </w:r>
    </w:p>
    <w:p>
      <w:pPr>
        <w:spacing w:after="60"/>
      </w:pPr>
      <w:r>
        <w:rPr>
          <w:rFonts w:ascii="Yu Gothic" w:cs="Yu Gothic" w:eastAsia="Yu Gothic" w:hAnsi="Yu Gothic"/>
          <w:b w:val="false"/>
          <w:bCs w:val="false"/>
          <w:sz w:val="18"/>
          <w:szCs w:val="18"/>
        </w:rPr>
        <w:t xml:space="preserve">チェック観点：・DBO・年金資産調整表の期首期末整合 ・B/S退職給付に係る負債/資産との突合 ・割引率・期待運用収益率の前年比変動と根拠 ・数理差異・過去勤務費用の費用処理年数の継続性</w:t>
      </w:r>
    </w:p>
    <w:p>
      <w:pPr>
        <w:spacing w:after="60"/>
      </w:pPr>
      <w:r>
        <w:rPr>
          <w:rFonts w:ascii="Yu Gothic" w:cs="Yu Gothic" w:eastAsia="Yu Gothic" w:hAnsi="Yu Gothic"/>
          <w:b w:val="false"/>
          <w:bCs w:val="false"/>
          <w:sz w:val="18"/>
          <w:szCs w:val="18"/>
        </w:rPr>
        <w:t xml:space="preserve">前年比・整合：主要前提（割引率等）の前年比変動を開示。制度改定の有無を確認。</w:t>
      </w:r>
    </w:p>
    <w:p>
      <w:pPr>
        <w:pStyle w:val="Heading2"/>
        <w:spacing w:after="60" w:before="220"/>
      </w:pPr>
      <w:r>
        <w:rPr>
          <w:rFonts w:ascii="Yu Gothic" w:cs="Yu Gothic" w:eastAsia="Yu Gothic" w:hAnsi="Yu Gothic"/>
          <w:b/>
          <w:bCs/>
        </w:rPr>
        <w:t xml:space="preserve">税効果会計</w:t>
      </w:r>
    </w:p>
    <w:p>
      <w:pPr>
        <w:pStyle w:val="Heading3"/>
        <w:spacing w:after="60" w:before="200"/>
      </w:pPr>
      <w:r>
        <w:rPr>
          <w:rFonts w:ascii="Yu Gothic" w:cs="Yu Gothic" w:eastAsia="Yu Gothic" w:hAnsi="Yu Gothic"/>
          <w:b/>
          <w:bCs/>
        </w:rPr>
        <w:t xml:space="preserve">N-07　税効果会計に関する注記（要検討・XBRL: jpcrp_cor:NotesTaxEffectAccountingConsolidated）</w:t>
      </w:r>
    </w:p>
    <w:p>
      <w:pPr>
        <w:spacing w:after="60"/>
      </w:pPr>
      <w:r>
        <w:rPr>
          <w:rFonts w:ascii="Yu Gothic" w:cs="Yu Gothic" w:eastAsia="Yu Gothic" w:hAnsi="Yu Gothic"/>
          <w:b w:val="false"/>
          <w:bCs w:val="false"/>
          <w:sz w:val="18"/>
          <w:szCs w:val="18"/>
        </w:rPr>
        <w:t xml:space="preserve">開示要求：繰延税金資産・負債の発生原因別主要内訳、法定実効税率と負担率の差異原因、評価性引当額の記載（企業会計基準第28号、開示基準）。</w:t>
      </w:r>
    </w:p>
    <w:p>
      <w:pPr>
        <w:spacing w:after="60"/>
      </w:pPr>
      <w:r>
        <w:rPr>
          <w:rFonts w:ascii="Yu Gothic" w:cs="Yu Gothic" w:eastAsia="Yu Gothic" w:hAnsi="Yu Gothic"/>
          <w:b w:val="false"/>
          <w:bCs w:val="false"/>
          <w:sz w:val="18"/>
          <w:szCs w:val="18"/>
        </w:rPr>
        <w:t xml:space="preserve">該当性：該当</w:t>
      </w:r>
    </w:p>
    <w:p>
      <w:pPr>
        <w:spacing w:after="60"/>
      </w:pPr>
      <w:r>
        <w:rPr>
          <w:rFonts w:ascii="Yu Gothic" w:cs="Yu Gothic" w:eastAsia="Yu Gothic" w:hAnsi="Yu Gothic"/>
          <w:b w:val="false"/>
          <w:bCs w:val="false"/>
          <w:sz w:val="18"/>
          <w:szCs w:val="18"/>
        </w:rPr>
        <w:t xml:space="preserve">記載ドラフト：繰延税金資産の主な発生原因は税務上の繰越欠損金、退職給付に係る負債、棚卸資産・固定資産評価減、未払賞与等。評価性引当額○百万円控除後の純額を計上。法定実効税率○%と税効果適用後法人税等負担率の差異要因を調整表で開示。繰越欠損金の繰越期限別残高を記載。</w:t>
      </w:r>
    </w:p>
    <w:p>
      <w:pPr>
        <w:spacing w:after="60"/>
      </w:pPr>
      <w:r>
        <w:rPr>
          <w:rFonts w:ascii="Yu Gothic" w:cs="Yu Gothic" w:eastAsia="Yu Gothic" w:hAnsi="Yu Gothic"/>
          <w:b w:val="false"/>
          <w:bCs w:val="false"/>
          <w:sz w:val="18"/>
          <w:szCs w:val="18"/>
        </w:rPr>
        <w:t xml:space="preserve">チェック観点：・発生原因別内訳合計とB/S繰延税金資産/負債の一致 ・評価性引当額の前年比増減と回収可能性判断（会社分類） ・税率差異調整表の合計と実際負担率の一致 ・繰越欠損金の期限別開示の網羅</w:t>
      </w:r>
    </w:p>
    <w:p>
      <w:pPr>
        <w:spacing w:after="60"/>
      </w:pPr>
      <w:r>
        <w:rPr>
          <w:rFonts w:ascii="Yu Gothic" w:cs="Yu Gothic" w:eastAsia="Yu Gothic" w:hAnsi="Yu Gothic"/>
          <w:b w:val="false"/>
          <w:bCs w:val="false"/>
          <w:sz w:val="18"/>
          <w:szCs w:val="18"/>
        </w:rPr>
        <w:t xml:space="preserve">前年比・整合：評価性引当額・回収可能性区分（企業分類）の前年比継続性を確認。</w:t>
      </w:r>
    </w:p>
    <w:p>
      <w:pPr>
        <w:pStyle w:val="Heading2"/>
        <w:spacing w:after="60" w:before="220"/>
      </w:pPr>
      <w:r>
        <w:rPr>
          <w:rFonts w:ascii="Yu Gothic" w:cs="Yu Gothic" w:eastAsia="Yu Gothic" w:hAnsi="Yu Gothic"/>
          <w:b/>
          <w:bCs/>
        </w:rPr>
        <w:t xml:space="preserve">収益認識</w:t>
      </w:r>
    </w:p>
    <w:p>
      <w:pPr>
        <w:pStyle w:val="Heading3"/>
        <w:spacing w:after="60" w:before="200"/>
      </w:pPr>
      <w:r>
        <w:rPr>
          <w:rFonts w:ascii="Yu Gothic" w:cs="Yu Gothic" w:eastAsia="Yu Gothic" w:hAnsi="Yu Gothic"/>
          <w:b/>
          <w:bCs/>
        </w:rPr>
        <w:t xml:space="preserve">N-08　収益認識に関する注記（要検討・XBRL: jpcrp_cor:NotesRevenueRecognitionConsolidated）</w:t>
      </w:r>
    </w:p>
    <w:p>
      <w:pPr>
        <w:spacing w:after="60"/>
      </w:pPr>
      <w:r>
        <w:rPr>
          <w:rFonts w:ascii="Yu Gothic" w:cs="Yu Gothic" w:eastAsia="Yu Gothic" w:hAnsi="Yu Gothic"/>
          <w:b w:val="false"/>
          <w:bCs w:val="false"/>
          <w:sz w:val="18"/>
          <w:szCs w:val="18"/>
        </w:rPr>
        <w:t xml:space="preserve">開示要求：収益の分解情報、履行義務の内容、収益認識時点、契約資産・契約負債の残高等を開示（企業会計基準第29号）。</w:t>
      </w:r>
    </w:p>
    <w:p>
      <w:pPr>
        <w:spacing w:after="60"/>
      </w:pPr>
      <w:r>
        <w:rPr>
          <w:rFonts w:ascii="Yu Gothic" w:cs="Yu Gothic" w:eastAsia="Yu Gothic" w:hAnsi="Yu Gothic"/>
          <w:b w:val="false"/>
          <w:bCs w:val="false"/>
          <w:sz w:val="18"/>
          <w:szCs w:val="18"/>
        </w:rPr>
        <w:t xml:space="preserve">該当性：該当</w:t>
      </w:r>
    </w:p>
    <w:p>
      <w:pPr>
        <w:spacing w:after="60"/>
      </w:pPr>
      <w:r>
        <w:rPr>
          <w:rFonts w:ascii="Yu Gothic" w:cs="Yu Gothic" w:eastAsia="Yu Gothic" w:hAnsi="Yu Gothic"/>
          <w:b w:val="false"/>
          <w:bCs w:val="false"/>
          <w:sz w:val="18"/>
          <w:szCs w:val="18"/>
        </w:rPr>
        <w:t xml:space="preserve">記載ドラフト：製品販売は顧客への引渡時（出荷後の支配移転時点）に一時点で収益を認識。製品保証は別個の履行義務に該当するか判定。収益はセグメント・地域別に分解。契約負債（前受金等）残高を記載。</w:t>
      </w:r>
    </w:p>
    <w:p>
      <w:pPr>
        <w:spacing w:after="60"/>
      </w:pPr>
      <w:r>
        <w:rPr>
          <w:rFonts w:ascii="Yu Gothic" w:cs="Yu Gothic" w:eastAsia="Yu Gothic" w:hAnsi="Yu Gothic"/>
          <w:b w:val="false"/>
          <w:bCs w:val="false"/>
          <w:sz w:val="18"/>
          <w:szCs w:val="18"/>
        </w:rPr>
        <w:t xml:space="preserve">チェック観点：・収益の分解とセグメント情報の整合 ・出荷基準と支配移転時点（国内・輸出）の判定根拠 ・製品保証（保証型／サービス型）の区分 ・契約資産・契約負債の期首期末残高開示</w:t>
      </w:r>
    </w:p>
    <w:p>
      <w:pPr>
        <w:spacing w:after="60"/>
      </w:pPr>
      <w:r>
        <w:rPr>
          <w:rFonts w:ascii="Yu Gothic" w:cs="Yu Gothic" w:eastAsia="Yu Gothic" w:hAnsi="Yu Gothic"/>
          <w:b w:val="false"/>
          <w:bCs w:val="false"/>
          <w:sz w:val="18"/>
          <w:szCs w:val="18"/>
        </w:rPr>
        <w:t xml:space="preserve">前年比・整合：認識方針・分解区分に変更なし（変更時は影響額注記）。</w:t>
      </w:r>
    </w:p>
    <w:p>
      <w:pPr>
        <w:pStyle w:val="Heading2"/>
        <w:spacing w:after="60" w:before="220"/>
      </w:pPr>
      <w:r>
        <w:rPr>
          <w:rFonts w:ascii="Yu Gothic" w:cs="Yu Gothic" w:eastAsia="Yu Gothic" w:hAnsi="Yu Gothic"/>
          <w:b/>
          <w:bCs/>
        </w:rPr>
        <w:t xml:space="preserve">引当金</w:t>
      </w:r>
    </w:p>
    <w:p>
      <w:pPr>
        <w:pStyle w:val="Heading3"/>
        <w:spacing w:after="60" w:before="200"/>
      </w:pPr>
      <w:r>
        <w:rPr>
          <w:rFonts w:ascii="Yu Gothic" w:cs="Yu Gothic" w:eastAsia="Yu Gothic" w:hAnsi="Yu Gothic"/>
          <w:b/>
          <w:bCs/>
        </w:rPr>
        <w:t xml:space="preserve">N-09　製品保証引当金（要検討・XBRL: jppfs_cor:ProductWarrantyProvision）</w:t>
      </w:r>
    </w:p>
    <w:p>
      <w:pPr>
        <w:spacing w:after="60"/>
      </w:pPr>
      <w:r>
        <w:rPr>
          <w:rFonts w:ascii="Yu Gothic" w:cs="Yu Gothic" w:eastAsia="Yu Gothic" w:hAnsi="Yu Gothic"/>
          <w:b w:val="false"/>
          <w:bCs w:val="false"/>
          <w:sz w:val="18"/>
          <w:szCs w:val="18"/>
        </w:rPr>
        <w:t xml:space="preserve">開示要求：引当金の計上基準、当期増減（繰入・取崩）を注記（会社計算規則・連結財規）。</w:t>
      </w:r>
    </w:p>
    <w:p>
      <w:pPr>
        <w:spacing w:after="60"/>
      </w:pPr>
      <w:r>
        <w:rPr>
          <w:rFonts w:ascii="Yu Gothic" w:cs="Yu Gothic" w:eastAsia="Yu Gothic" w:hAnsi="Yu Gothic"/>
          <w:b w:val="false"/>
          <w:bCs w:val="false"/>
          <w:sz w:val="18"/>
          <w:szCs w:val="18"/>
        </w:rPr>
        <w:t xml:space="preserve">該当性：該当（製造業特有：リコール・求償リスク）</w:t>
      </w:r>
    </w:p>
    <w:p>
      <w:pPr>
        <w:spacing w:after="60"/>
      </w:pPr>
      <w:r>
        <w:rPr>
          <w:rFonts w:ascii="Yu Gothic" w:cs="Yu Gothic" w:eastAsia="Yu Gothic" w:hAnsi="Yu Gothic"/>
          <w:b w:val="false"/>
          <w:bCs w:val="false"/>
          <w:sz w:val="18"/>
          <w:szCs w:val="18"/>
        </w:rPr>
        <w:t xml:space="preserve">記載ドラフト：製品保証引当金は過去の販売実績に基づくクレーム発生率（販売台数×予想クレーム率）に将来見込を加味して計上。当期繰入額○百万円、取崩額○百万円。重大なリコール・求償が見込まれる場合は別途追加計上。</w:t>
      </w:r>
    </w:p>
    <w:p>
      <w:pPr>
        <w:spacing w:after="60"/>
      </w:pPr>
      <w:r>
        <w:rPr>
          <w:rFonts w:ascii="Yu Gothic" w:cs="Yu Gothic" w:eastAsia="Yu Gothic" w:hAnsi="Yu Gothic"/>
          <w:b w:val="false"/>
          <w:bCs w:val="false"/>
          <w:sz w:val="18"/>
          <w:szCs w:val="18"/>
        </w:rPr>
        <w:t xml:space="preserve">チェック観点：・クレーム率算定の基礎データと前期実績の整合 ・重要なリコール案件の偶発債務（N-10）との切分け ・期首期末残高の増減分析</w:t>
      </w:r>
    </w:p>
    <w:p>
      <w:pPr>
        <w:spacing w:after="60"/>
      </w:pPr>
      <w:r>
        <w:rPr>
          <w:rFonts w:ascii="Yu Gothic" w:cs="Yu Gothic" w:eastAsia="Yu Gothic" w:hAnsi="Yu Gothic"/>
          <w:b w:val="false"/>
          <w:bCs w:val="false"/>
          <w:sz w:val="18"/>
          <w:szCs w:val="18"/>
        </w:rPr>
        <w:t xml:space="preserve">前年比・整合：クレーム率前提・実績乖離の検証。</w:t>
      </w:r>
    </w:p>
    <w:p>
      <w:pPr>
        <w:pStyle w:val="Heading2"/>
        <w:spacing w:after="60" w:before="220"/>
      </w:pPr>
      <w:r>
        <w:rPr>
          <w:rFonts w:ascii="Yu Gothic" w:cs="Yu Gothic" w:eastAsia="Yu Gothic" w:hAnsi="Yu Gothic"/>
          <w:b/>
          <w:bCs/>
        </w:rPr>
        <w:t xml:space="preserve">偶発事象</w:t>
      </w:r>
    </w:p>
    <w:p>
      <w:pPr>
        <w:pStyle w:val="Heading3"/>
        <w:spacing w:after="60" w:before="200"/>
      </w:pPr>
      <w:r>
        <w:rPr>
          <w:rFonts w:ascii="Yu Gothic" w:cs="Yu Gothic" w:eastAsia="Yu Gothic" w:hAnsi="Yu Gothic"/>
          <w:b/>
          <w:bCs/>
        </w:rPr>
        <w:t xml:space="preserve">N-10　偶発債務・重要な後発事象（要検討・XBRL: jpcrp_cor:NotesContingenciesConsolidated／jpcrp_cor:NotesSubsequentEventsConsolidated）</w:t>
      </w:r>
    </w:p>
    <w:p>
      <w:pPr>
        <w:spacing w:after="60"/>
      </w:pPr>
      <w:r>
        <w:rPr>
          <w:rFonts w:ascii="Yu Gothic" w:cs="Yu Gothic" w:eastAsia="Yu Gothic" w:hAnsi="Yu Gothic"/>
          <w:b w:val="false"/>
          <w:bCs w:val="false"/>
          <w:sz w:val="18"/>
          <w:szCs w:val="18"/>
        </w:rPr>
        <w:t xml:space="preserve">開示要求：保証債務、係争中の訴訟（カルテル・リコール・求償等）、重要な後発事象の開示。</w:t>
      </w:r>
    </w:p>
    <w:p>
      <w:pPr>
        <w:spacing w:after="60"/>
      </w:pPr>
      <w:r>
        <w:rPr>
          <w:rFonts w:ascii="Yu Gothic" w:cs="Yu Gothic" w:eastAsia="Yu Gothic" w:hAnsi="Yu Gothic"/>
          <w:b w:val="false"/>
          <w:bCs w:val="false"/>
          <w:sz w:val="18"/>
          <w:szCs w:val="18"/>
        </w:rPr>
        <w:t xml:space="preserve">該当性：条件付（該当事象がある場合）</w:t>
      </w:r>
    </w:p>
    <w:p>
      <w:pPr>
        <w:spacing w:after="60"/>
      </w:pPr>
      <w:r>
        <w:rPr>
          <w:rFonts w:ascii="Yu Gothic" w:cs="Yu Gothic" w:eastAsia="Yu Gothic" w:hAnsi="Yu Gothic"/>
          <w:b w:val="false"/>
          <w:bCs w:val="false"/>
          <w:sz w:val="18"/>
          <w:szCs w:val="18"/>
        </w:rPr>
        <w:t xml:space="preserve">記載ドラフト：重要な訴訟・規制当局調査（独占禁止法等）、リコールに伴う求償等の偶発債務の有無を確認のうえ記載。決算日後に発生した重要な事象（重大なリコール、設備投資・組織再編等）を後発事象として開示。</w:t>
      </w:r>
    </w:p>
    <w:p>
      <w:pPr>
        <w:spacing w:after="60"/>
      </w:pPr>
      <w:r>
        <w:rPr>
          <w:rFonts w:ascii="Yu Gothic" w:cs="Yu Gothic" w:eastAsia="Yu Gothic" w:hAnsi="Yu Gothic"/>
          <w:b w:val="false"/>
          <w:bCs w:val="false"/>
          <w:sz w:val="18"/>
          <w:szCs w:val="18"/>
        </w:rPr>
        <w:t xml:space="preserve">チェック観点：・独禁法・品質関連リスクの法務確認 ・保証債務・債務保証の網羅 ・後発事象の有無と修正後発／開示後発の区分</w:t>
      </w:r>
    </w:p>
    <w:p>
      <w:pPr>
        <w:spacing w:after="60"/>
      </w:pPr>
      <w:r>
        <w:rPr>
          <w:rFonts w:ascii="Yu Gothic" w:cs="Yu Gothic" w:eastAsia="Yu Gothic" w:hAnsi="Yu Gothic"/>
          <w:b w:val="false"/>
          <w:bCs w:val="false"/>
          <w:sz w:val="18"/>
          <w:szCs w:val="18"/>
        </w:rPr>
        <w:t xml:space="preserve">前年比・整合：前期記載事象の進捗・解消状況を確認。</w:t>
      </w:r>
    </w:p>
    <w:p>
      <w:pPr>
        <w:pStyle w:val="Heading2"/>
        <w:spacing w:after="60" w:before="220"/>
      </w:pPr>
      <w:r>
        <w:rPr>
          <w:rFonts w:ascii="Yu Gothic" w:cs="Yu Gothic" w:eastAsia="Yu Gothic" w:hAnsi="Yu Gothic"/>
          <w:b/>
          <w:bCs/>
        </w:rPr>
        <w:t xml:space="preserve">金融商品</w:t>
      </w:r>
    </w:p>
    <w:p>
      <w:pPr>
        <w:pStyle w:val="Heading3"/>
        <w:spacing w:after="60" w:before="200"/>
      </w:pPr>
      <w:r>
        <w:rPr>
          <w:rFonts w:ascii="Yu Gothic" w:cs="Yu Gothic" w:eastAsia="Yu Gothic" w:hAnsi="Yu Gothic"/>
          <w:b/>
          <w:bCs/>
        </w:rPr>
        <w:t xml:space="preserve">N-11　金融商品に関する注記（要検討・XBRL: jpcrp_cor:NotesFinancialInstrumentsConsolidated）</w:t>
      </w:r>
    </w:p>
    <w:p>
      <w:pPr>
        <w:spacing w:after="60"/>
      </w:pPr>
      <w:r>
        <w:rPr>
          <w:rFonts w:ascii="Yu Gothic" w:cs="Yu Gothic" w:eastAsia="Yu Gothic" w:hAnsi="Yu Gothic"/>
          <w:b w:val="false"/>
          <w:bCs w:val="false"/>
          <w:sz w:val="18"/>
          <w:szCs w:val="18"/>
        </w:rPr>
        <w:t xml:space="preserve">開示要求：金融商品の状況、時価、リスク管理方針（為替・金利・信用リスク）、デリバティブの開示。</w:t>
      </w:r>
    </w:p>
    <w:p>
      <w:pPr>
        <w:spacing w:after="60"/>
      </w:pPr>
      <w:r>
        <w:rPr>
          <w:rFonts w:ascii="Yu Gothic" w:cs="Yu Gothic" w:eastAsia="Yu Gothic" w:hAnsi="Yu Gothic"/>
          <w:b w:val="false"/>
          <w:bCs w:val="false"/>
          <w:sz w:val="18"/>
          <w:szCs w:val="18"/>
        </w:rPr>
        <w:t xml:space="preserve">該当性：該当（為替変動リスク・調達リスク）</w:t>
      </w:r>
    </w:p>
    <w:p>
      <w:pPr>
        <w:spacing w:after="60"/>
      </w:pPr>
      <w:r>
        <w:rPr>
          <w:rFonts w:ascii="Yu Gothic" w:cs="Yu Gothic" w:eastAsia="Yu Gothic" w:hAnsi="Yu Gothic"/>
          <w:b w:val="false"/>
          <w:bCs w:val="false"/>
          <w:sz w:val="18"/>
          <w:szCs w:val="18"/>
        </w:rPr>
        <w:t xml:space="preserve">記載ドラフト：営業債権・債務、有利子負債、デリバティブ（為替予約等）について時価情報、リスク管理方針を開示。原材料の海外調達・輸出に伴う為替変動リスクのヘッジ方針を記載。</w:t>
      </w:r>
    </w:p>
    <w:p>
      <w:pPr>
        <w:spacing w:after="60"/>
      </w:pPr>
      <w:r>
        <w:rPr>
          <w:rFonts w:ascii="Yu Gothic" w:cs="Yu Gothic" w:eastAsia="Yu Gothic" w:hAnsi="Yu Gothic"/>
          <w:b w:val="false"/>
          <w:bCs w:val="false"/>
          <w:sz w:val="18"/>
          <w:szCs w:val="18"/>
        </w:rPr>
        <w:t xml:space="preserve">チェック観点：・時価の3レベル区分開示 ・ヘッジ会計の適用要件・有効性 ・信用リスク・流動性リスクの定性記載</w:t>
      </w:r>
    </w:p>
    <w:p>
      <w:pPr>
        <w:spacing w:after="60"/>
      </w:pPr>
      <w:r>
        <w:rPr>
          <w:rFonts w:ascii="Yu Gothic" w:cs="Yu Gothic" w:eastAsia="Yu Gothic" w:hAnsi="Yu Gothic"/>
          <w:b w:val="false"/>
          <w:bCs w:val="false"/>
          <w:sz w:val="18"/>
          <w:szCs w:val="18"/>
        </w:rPr>
        <w:t xml:space="preserve">前年比・整合：開示区分・ヘッジ方針の継続性。</w:t>
      </w:r>
    </w:p>
    <w:p>
      <w:pPr>
        <w:pStyle w:val="Heading1"/>
        <w:spacing w:after="80" w:before="280"/>
      </w:pPr>
      <w:r>
        <w:rPr>
          <w:rFonts w:ascii="Yu Gothic" w:cs="Yu Gothic" w:eastAsia="Yu Gothic" w:hAnsi="Yu Gothic"/>
          <w:b/>
          <w:bCs/>
        </w:rPr>
        <w:t xml:space="preserve">2. 開示チェックリスト</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16%"/>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領域</w:t>
            </w:r>
          </w:p>
        </w:tc>
        <w:tc>
          <w:tcPr>
            <w:tcW w:type="pct" w:w="3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チェック項目</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根拠</w:t>
            </w:r>
          </w:p>
        </w:tc>
        <w:tc>
          <w:tcPr>
            <w:tcW w:type="pct" w:w="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判定</w:t>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留意</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網羅性</w:t>
            </w:r>
          </w:p>
        </w:tc>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重要な会計上の見積り注記に棚卸資産・固定資産減損・退職給付・税効果の4項目が網羅されているか</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企業会計基準第31号</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要確認</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ヒアリングの重点5項目（収益認識含む）と整合を確認</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様式間整合</w:t>
            </w:r>
          </w:p>
        </w:tc>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セグメント利益合計とP/L営業利益、セグメント資産合計とB/S総資産の調整表が一致するか</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企業会計基準第17号</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要確認</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調整項目（全社費用・消去）の内訳を点検</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本表突合</w:t>
            </w:r>
          </w:p>
        </w:tc>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棚卸資産の区分別残高合計がB/S計上額と一致し、簿価切下額がP/L売上原価に算入されているか</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企業会計基準第9号</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要確認</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標準原価差異の期末調整後の数値で照合</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前年比</w:t>
            </w:r>
          </w:p>
        </w:tc>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減損の割引率・将来CF前提が前期から継続的か、変更時の理由が記載されているか</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固定資産の減損に係る会計基準</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要確認</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製造拠点別グルーピングの継続性も確認</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本表突合</w:t>
            </w:r>
          </w:p>
        </w:tc>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退職給付DBO・年金資産の調整表期末残高がB/S退職給付に係る負債/資産と一致するか</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企業会計基準第26号</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要確認</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割引率・期待運用収益率の前年比変動根拠を確認</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網羅性</w:t>
            </w:r>
          </w:p>
        </w:tc>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税効果：発生原因別内訳・税率差異調整表・評価性引当額・繰越欠損金期限別が開示されているか</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企業会計基準第28号・開示基準</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要確認</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会社分類に基づく回収可能性判断の根拠を確認</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整合性</w:t>
            </w:r>
          </w:p>
        </w:tc>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収益の分解情報がセグメント情報と整合し、契約負債残高が開示されているか</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企業会計基準第29号</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要確認</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出荷基準＝支配移転時点の判定根拠（輸出含む）</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網羅性</w:t>
            </w:r>
          </w:p>
        </w:tc>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製品保証引当金の計上基準・期首期末増減が開示され、リコール求償の偶発債務と切り分けられているか</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連結財規・会社計算規則</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要確認</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クレーム率前提と実績乖離を検証</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網羅性</w:t>
            </w:r>
          </w:p>
        </w:tc>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独占禁止法等の係争・規制当局調査、紛争鉱物等のリスクが偶発事象・後発事象で適切に開示されているか</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連結財規</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要確認</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法務部門への確認結果を反映</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XBRL</w:t>
            </w:r>
          </w:p>
        </w:tc>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各注記に適切な標準タグが付与され、拡張要素の使用が最小化されているか</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EDINETタクソノミ</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要確認</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セグメント・減損・退職給付・税効果の主要タグを点検</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連結範囲</w:t>
            </w:r>
          </w:p>
        </w:tc>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連結・持分法の範囲の異動が注記され、機能通貨・外貨換算方法が継続適用されているか</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連結財規・外貨基準</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要確認</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在外子会社の換算差額（為替換算調整勘定）を確認</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金融商品</w:t>
            </w:r>
          </w:p>
        </w:tc>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為替・調達リスクのヘッジ方針と金融商品の時価（レベル別）が開示されているか</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企業会計基準第10号・時価算定基準</w:t>
            </w:r>
          </w:p>
        </w:tc>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要確認</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製造業特有の原材料調達・為替リスクの定性記載を確認</w:t>
            </w:r>
          </w:p>
        </w:tc>
      </w:tr>
    </w:tbl>
    <w:p>
      <w:pPr>
        <w:pStyle w:val="Heading1"/>
        <w:spacing w:after="80" w:before="280"/>
      </w:pPr>
      <w:r>
        <w:rPr>
          <w:rFonts w:ascii="Yu Gothic" w:cs="Yu Gothic" w:eastAsia="Yu Gothic" w:hAnsi="Yu Gothic"/>
          <w:b/>
          <w:bCs/>
        </w:rPr>
        <w:t xml:space="preserve">3. 総合所見</w:t>
      </w:r>
    </w:p>
    <w:p>
      <w:pPr>
        <w:spacing w:after="60"/>
      </w:pPr>
      <w:r>
        <w:rPr>
          <w:rFonts w:ascii="Yu Gothic" w:cs="Yu Gothic" w:eastAsia="Yu Gothic" w:hAnsi="Yu Gothic"/>
          <w:b w:val="false"/>
          <w:bCs w:val="false"/>
          <w:sz w:val="20"/>
          <w:szCs w:val="20"/>
        </w:rPr>
        <w:t xml:space="preserve">製造業特有の論点（標準原価計算に基づく棚卸資産の収益性低下、製造拠点単位のグルーピングによる固定資産減損、退職給付、繰延税金資産の回収可能性、製品保証・リコール求償リスク）を中心に注記ドラフト11件と点検項目12件を整備した。本ドラフトは会計士レビュー前提であり、各注記の金額（○表記箇所）は確定値の入力後に本表・セグメント・C/Fとの様式間整合、前年比較の連続性、XBRLタグの適切性を最終確認する必要がある。特に①重要な会計上の見積り4項目の感応度開示、②セグメント利益・資産の調整表整合、③棚卸資産簿価切下額の売上原価算入、④退職給付・税効果の前提変動の根拠、⑤独禁法・リコール等の偶発/後発事象の網羅を重点的にレビューされたい。</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Yu Gothic" w:cs="Yu Gothic" w:eastAsia="Yu Gothic" w:hAnsi="Yu Gothic"/>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サンプル製造株式会社 開示パッケージ</dc:title>
  <dc:creator>BENTO — 会計士 × AI</dc:creator>
  <cp:lastModifiedBy>Un-named</cp:lastModifiedBy>
  <cp:revision>1</cp:revision>
  <dcterms:created xsi:type="dcterms:W3CDTF">2026-07-03T07:33:39.907Z</dcterms:created>
  <dcterms:modified xsi:type="dcterms:W3CDTF">2026-07-03T07:33:39.907Z</dcterms:modified>
</cp:coreProperties>
</file>

<file path=docProps/custom.xml><?xml version="1.0" encoding="utf-8"?>
<Properties xmlns="http://schemas.openxmlformats.org/officeDocument/2006/custom-properties" xmlns:vt="http://schemas.openxmlformats.org/officeDocument/2006/docPropsVTypes"/>
</file>