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Pr>
        <w:jc w:val="left"/>
      </w:pPr>
      <w:r>
        <w:rPr>
          <w:rFonts w:eastAsia="Hiragino Sans" w:ascii="Hiragino Sans" w:hAnsi="Hiragino Sans"/>
          <w:b/>
          <w:color w:val="C0392B"/>
          <w:sz w:val="22"/>
        </w:rPr>
        <w:t>ENGLISH DISCLOSURE (DRAFT)</w:t>
      </w:r>
    </w:p>
    <w:p>
      <w:r>
        <w:rPr>
          <w:rFonts w:eastAsia="Hiragino Sans" w:ascii="Hiragino Sans" w:hAnsi="Hiragino Sans"/>
          <w:b/>
          <w:color w:val="24406B"/>
          <w:sz w:val="48"/>
        </w:rPr>
        <w:t>Timely Disclosure Notices — English Versions (Revisions to Forecasts / Acquisition of Own Shares / Year-End Dividend)</w:t>
      </w:r>
    </w:p>
    <w:p>
      <w:r>
        <w:rPr>
          <w:rFonts w:eastAsia="Hiragino Sans" w:ascii="Hiragino Sans" w:hAnsi="Hiragino Sans"/>
          <w:color w:val="444444"/>
          <w:sz w:val="25"/>
        </w:rPr>
        <w:t>Sample Manufacturing Co., Ltd. / Disclosed February 10 and May 13, 2026 — English translations of the Japanese originals</w:t>
      </w:r>
    </w:p>
    <w:p/>
    <w:tbl>
      <w:tblPr>
        <w:tblStyle w:val="TableGrid"/>
        <w:tblW w:type="auto" w:w="0"/>
        <w:tblLook w:firstColumn="1" w:firstRow="1" w:lastColumn="0" w:lastRow="0" w:noHBand="0" w:noVBand="1" w:val="04A0"/>
      </w:tblPr>
      <w:tblGrid>
        <w:gridCol w:w="4986"/>
        <w:gridCol w:w="4986"/>
      </w:tblGrid>
      <w:tr>
        <w:tc>
          <w:tcPr>
            <w:tcW w:type="dxa" w:w="4986"/>
            <w:shd w:val="clear" w:fill="F3F4F6"/>
          </w:tcPr>
          <w:p>
            <w:r/>
            <w:r>
              <w:rPr>
                <w:rFonts w:eastAsia="Hiragino Sans" w:ascii="Hiragino Sans" w:hAnsi="Hiragino Sans"/>
                <w:b/>
                <w:sz w:val="19"/>
              </w:rPr>
              <w:t>Documents</w:t>
            </w:r>
          </w:p>
        </w:tc>
        <w:tc>
          <w:tcPr>
            <w:tcW w:type="dxa" w:w="4986"/>
          </w:tcPr>
          <w:p>
            <w:r/>
            <w:r>
              <w:rPr>
                <w:rFonts w:eastAsia="Hiragino Sans" w:ascii="Hiragino Sans" w:hAnsi="Hiragino Sans"/>
                <w:b w:val="0"/>
                <w:sz w:val="19"/>
              </w:rPr>
              <w:t>Notice Concerning Revisions to Full-Year Financial Results Forecasts; Notice Concerning Determination of Matters Related to Acquisition of Own Shares; Notice Concerning Dividends of Surplus (Year-End Dividend)</w:t>
            </w:r>
          </w:p>
        </w:tc>
      </w:tr>
      <w:tr>
        <w:tc>
          <w:tcPr>
            <w:tcW w:type="dxa" w:w="4986"/>
            <w:shd w:val="clear" w:fill="F3F4F6"/>
          </w:tcPr>
          <w:p>
            <w:r/>
            <w:r>
              <w:rPr>
                <w:rFonts w:eastAsia="Hiragino Sans" w:ascii="Hiragino Sans" w:hAnsi="Hiragino Sans"/>
                <w:b/>
                <w:sz w:val="19"/>
              </w:rPr>
              <w:t>Basis</w:t>
            </w:r>
          </w:p>
        </w:tc>
        <w:tc>
          <w:tcPr>
            <w:tcW w:type="dxa" w:w="4986"/>
          </w:tcPr>
          <w:p>
            <w:r/>
            <w:r>
              <w:rPr>
                <w:rFonts w:eastAsia="Hiragino Sans" w:ascii="Hiragino Sans" w:hAnsi="Hiragino Sans"/>
                <w:b w:val="0"/>
                <w:sz w:val="19"/>
              </w:rPr>
              <w:t>TSE Securities Listing Regulations (timely disclosure) / TSE English Sample Disclosure Forms (Decisions; Other Matters) / Prime Market English-language disclosure (from April 2025)</w:t>
            </w:r>
          </w:p>
        </w:tc>
      </w:tr>
      <w:tr>
        <w:tc>
          <w:tcPr>
            <w:tcW w:type="dxa" w:w="4986"/>
            <w:shd w:val="clear" w:fill="F3F4F6"/>
          </w:tcPr>
          <w:p>
            <w:r/>
            <w:r>
              <w:rPr>
                <w:rFonts w:eastAsia="Hiragino Sans" w:ascii="Hiragino Sans" w:hAnsi="Hiragino Sans"/>
                <w:b/>
                <w:sz w:val="19"/>
              </w:rPr>
              <w:t>Fiscal year</w:t>
            </w:r>
          </w:p>
        </w:tc>
        <w:tc>
          <w:tcPr>
            <w:tcW w:type="dxa" w:w="4986"/>
          </w:tcPr>
          <w:p>
            <w:r/>
            <w:r>
              <w:rPr>
                <w:rFonts w:eastAsia="Hiragino Sans" w:ascii="Hiragino Sans" w:hAnsi="Hiragino Sans"/>
                <w:b w:val="0"/>
                <w:sz w:val="19"/>
              </w:rPr>
              <w:t>28th fiscal year (April 1, 2025 to March 31, 2026)</w:t>
            </w:r>
          </w:p>
        </w:tc>
      </w:tr>
      <w:tr>
        <w:tc>
          <w:tcPr>
            <w:tcW w:type="dxa" w:w="4986"/>
            <w:shd w:val="clear" w:fill="F3F4F6"/>
          </w:tcPr>
          <w:p>
            <w:r/>
            <w:r>
              <w:rPr>
                <w:rFonts w:eastAsia="Hiragino Sans" w:ascii="Hiragino Sans" w:hAnsi="Hiragino Sans"/>
                <w:b/>
                <w:sz w:val="19"/>
              </w:rPr>
              <w:t>Disclosure dates</w:t>
            </w:r>
          </w:p>
        </w:tc>
        <w:tc>
          <w:tcPr>
            <w:tcW w:type="dxa" w:w="4986"/>
          </w:tcPr>
          <w:p>
            <w:r/>
            <w:r>
              <w:rPr>
                <w:rFonts w:eastAsia="Hiragino Sans" w:ascii="Hiragino Sans" w:hAnsi="Hiragino Sans"/>
                <w:b w:val="0"/>
                <w:sz w:val="19"/>
              </w:rPr>
              <w:t>February 10, 2026 (forecast revision); May 13, 2026 (own shares; year-end dividend) — simultaneous with the Japanese originals</w:t>
            </w:r>
          </w:p>
        </w:tc>
      </w:tr>
      <w:tr>
        <w:tc>
          <w:tcPr>
            <w:tcW w:type="dxa" w:w="4986"/>
            <w:shd w:val="clear" w:fill="F3F4F6"/>
          </w:tcPr>
          <w:p>
            <w:r/>
            <w:r>
              <w:rPr>
                <w:rFonts w:eastAsia="Hiragino Sans" w:ascii="Hiragino Sans" w:hAnsi="Hiragino Sans"/>
                <w:b/>
                <w:sz w:val="19"/>
              </w:rPr>
              <w:t>Company</w:t>
            </w:r>
          </w:p>
        </w:tc>
        <w:tc>
          <w:tcPr>
            <w:tcW w:type="dxa" w:w="4986"/>
          </w:tcPr>
          <w:p>
            <w:r/>
            <w:r>
              <w:rPr>
                <w:rFonts w:eastAsia="Hiragino Sans" w:ascii="Hiragino Sans" w:hAnsi="Hiragino Sans"/>
                <w:b w:val="0"/>
                <w:sz w:val="19"/>
              </w:rPr>
              <w:t>Sample Manufacturing Co., Ltd. (fictitious sample, TSE Prime Market)</w:t>
            </w:r>
          </w:p>
        </w:tc>
      </w:tr>
      <w:tr>
        <w:tc>
          <w:tcPr>
            <w:tcW w:type="dxa" w:w="4986"/>
            <w:shd w:val="clear" w:fill="F3F4F6"/>
          </w:tcPr>
          <w:p>
            <w:r/>
            <w:r>
              <w:rPr>
                <w:rFonts w:eastAsia="Hiragino Sans" w:ascii="Hiragino Sans" w:hAnsi="Hiragino Sans"/>
                <w:b/>
                <w:sz w:val="19"/>
              </w:rPr>
              <w:t>Prepared by</w:t>
            </w:r>
          </w:p>
        </w:tc>
        <w:tc>
          <w:tcPr>
            <w:tcW w:type="dxa" w:w="4986"/>
          </w:tcPr>
          <w:p>
            <w:r/>
            <w:r>
              <w:rPr>
                <w:rFonts w:eastAsia="Hiragino Sans" w:ascii="Hiragino Sans" w:hAnsi="Hiragino Sans"/>
                <w:b w:val="0"/>
                <w:sz w:val="19"/>
              </w:rPr>
              <w:t>cpaai.jp (AI-generated draft)</w:t>
            </w:r>
          </w:p>
        </w:tc>
      </w:tr>
      <w:tr>
        <w:tc>
          <w:tcPr>
            <w:tcW w:type="dxa" w:w="4986"/>
            <w:shd w:val="clear" w:fill="F3F4F6"/>
          </w:tcPr>
          <w:p>
            <w:r/>
            <w:r>
              <w:rPr>
                <w:rFonts w:eastAsia="Hiragino Sans" w:ascii="Hiragino Sans" w:hAnsi="Hiragino Sans"/>
                <w:b/>
                <w:sz w:val="19"/>
              </w:rPr>
              <w:t>Reviewed by</w:t>
            </w:r>
          </w:p>
        </w:tc>
        <w:tc>
          <w:tcPr>
            <w:tcW w:type="dxa" w:w="4986"/>
          </w:tcPr>
          <w:p>
            <w:r/>
            <w:r>
              <w:rPr>
                <w:rFonts w:eastAsia="Hiragino Sans" w:ascii="Hiragino Sans" w:hAnsi="Hiragino Sans"/>
                <w:b w:val="0"/>
                <w:sz w:val="19"/>
              </w:rPr>
              <w:t>—</w:t>
            </w:r>
          </w:p>
        </w:tc>
      </w:tr>
    </w:tbl>
    <w:p/>
    <w:p>
      <w:pPr>
        <w:ind w:left="120"/>
        <w:shd w:val="clear" w:fill="F3F4F6"/>
        <w:pBdr>
          <w:left w:val="single" w:sz="18" w:space="6" w:color="24406B"/>
        </w:pBdr>
      </w:pPr>
      <w:r>
        <w:rPr>
          <w:rFonts w:eastAsia="Hiragino Sans" w:ascii="Hiragino Sans" w:hAnsi="Hiragino Sans"/>
          <w:b w:val="0"/>
          <w:i/>
          <w:color w:val="444444"/>
          <w:sz w:val="18"/>
        </w:rPr>
        <w:t>This document is an AI-generated draft prepared for review by certified public accountants, disclosure staff and legal counsel. The company, individuals and figures are entirely fictitious and bear no relation to any actual company or person. It is not intended as a solicitation of investment or a basis for investment decisions. These English versions are translations of the Japanese originals for reference purposes only; the Japanese originals prevail.</w:t>
      </w:r>
    </w:p>
    <w:p>
      <w:r>
        <w:br w:type="page"/>
      </w:r>
    </w:p>
    <w:p>
      <w:pPr>
        <w:ind w:left="120"/>
        <w:shd w:val="clear" w:fill="F3F4F6"/>
        <w:pBdr>
          <w:left w:val="single" w:sz="18" w:space="6" w:color="24406B"/>
        </w:pBdr>
      </w:pPr>
      <w:r>
        <w:rPr>
          <w:rFonts w:eastAsia="Hiragino Sans" w:ascii="Hiragino Sans" w:hAnsi="Hiragino Sans"/>
          <w:b w:val="0"/>
          <w:i/>
          <w:color w:val="444444"/>
          <w:sz w:val="18"/>
        </w:rPr>
        <w:t>This document is an AI-generated draft prepared for review by certified public accountants, disclosure staff and legal counsel. The company, individuals and figures are entirely fictitious and bear no relation to any actual company or person. It is not intended as a solicitation of investment or a basis for investment decisions.</w:t>
      </w:r>
    </w:p>
    <w:p>
      <w:pPr>
        <w:ind w:left="120"/>
        <w:shd w:val="clear" w:fill="F3F4F6"/>
        <w:pBdr>
          <w:left w:val="single" w:sz="18" w:space="6" w:color="24406B"/>
        </w:pBdr>
      </w:pPr>
      <w:r>
        <w:rPr>
          <w:rFonts w:eastAsia="Hiragino Sans" w:ascii="Hiragino Sans" w:hAnsi="Hiragino Sans"/>
          <w:b w:val="0"/>
          <w:i/>
          <w:color w:val="444444"/>
          <w:sz w:val="18"/>
        </w:rPr>
        <w:t>Note: These documents have been translated from the Japanese originals for reference purposes only. In the event of any discrepancy between these translated documents and the Japanese originals, the originals shall prevail.</w:t>
      </w:r>
    </w:p>
    <w:tbl>
      <w:tblPr>
        <w:tblStyle w:val="TableGrid"/>
        <w:tblW w:type="auto" w:w="0"/>
        <w:jc w:val="center"/>
        <w:tblLayout w:type="autofit"/>
        <w:tblLook w:firstColumn="1" w:firstRow="1" w:lastColumn="0" w:lastRow="0" w:noHBand="0" w:noVBand="1" w:val="04A0"/>
      </w:tblPr>
      <w:tblGrid>
        <w:gridCol w:w="4986"/>
        <w:gridCol w:w="4986"/>
      </w:tblGrid>
      <w:tr>
        <w:tc>
          <w:tcPr>
            <w:tcW w:type="dxa" w:w="4986"/>
            <w:shd w:val="clear" w:fill="24406B"/>
          </w:tcPr>
          <w:p>
            <w:r/>
            <w:r>
              <w:rPr>
                <w:rFonts w:eastAsia="Hiragino Sans" w:ascii="Hiragino Sans" w:hAnsi="Hiragino Sans"/>
                <w:b/>
                <w:color w:val="FFFFFF"/>
                <w:sz w:val="18"/>
              </w:rPr>
              <w:t>Item</w:t>
            </w:r>
          </w:p>
        </w:tc>
        <w:tc>
          <w:tcPr>
            <w:tcW w:type="dxa" w:w="4986"/>
            <w:shd w:val="clear" w:fill="24406B"/>
          </w:tcPr>
          <w:p>
            <w:r/>
            <w:r>
              <w:rPr>
                <w:rFonts w:eastAsia="Hiragino Sans" w:ascii="Hiragino Sans" w:hAnsi="Hiragino Sans"/>
                <w:b/>
                <w:color w:val="FFFFFF"/>
                <w:sz w:val="18"/>
              </w:rPr>
              <w:t>Description</w:t>
            </w:r>
          </w:p>
        </w:tc>
      </w:tr>
      <w:tr>
        <w:tc>
          <w:tcPr>
            <w:tcW w:type="dxa" w:w="4986"/>
          </w:tcPr>
          <w:p>
            <w:r/>
            <w:r>
              <w:rPr>
                <w:rFonts w:eastAsia="Hiragino Sans" w:ascii="Hiragino Sans" w:hAnsi="Hiragino Sans"/>
                <w:b w:val="0"/>
                <w:sz w:val="18"/>
              </w:rPr>
              <w:t>Documents</w:t>
            </w:r>
          </w:p>
        </w:tc>
        <w:tc>
          <w:tcPr>
            <w:tcW w:type="dxa" w:w="4986"/>
          </w:tcPr>
          <w:p>
            <w:r/>
            <w:r>
              <w:rPr>
                <w:rFonts w:eastAsia="Hiragino Sans" w:ascii="Hiragino Sans" w:hAnsi="Hiragino Sans"/>
                <w:b w:val="0"/>
                <w:sz w:val="18"/>
              </w:rPr>
              <w:t>(1) Notice Concerning Revisions to Full-Year Financial Results Forecasts (February 10, 2026); (2) Notice Concerning Determination of Matters Related to Acquisition of Own Shares (May 13, 2026); (3) Notice Concerning Dividends of Surplus (Year-End Dividend) (May 13, 2026)</w:t>
            </w:r>
          </w:p>
        </w:tc>
      </w:tr>
      <w:tr>
        <w:tc>
          <w:tcPr>
            <w:tcW w:type="dxa" w:w="4986"/>
            <w:shd w:val="clear" w:fill="F7F8FA"/>
          </w:tcPr>
          <w:p>
            <w:r/>
            <w:r>
              <w:rPr>
                <w:rFonts w:eastAsia="Hiragino Sans" w:ascii="Hiragino Sans" w:hAnsi="Hiragino Sans"/>
                <w:b w:val="0"/>
                <w:sz w:val="18"/>
              </w:rPr>
              <w:t>Company name</w:t>
            </w:r>
          </w:p>
        </w:tc>
        <w:tc>
          <w:tcPr>
            <w:tcW w:type="dxa" w:w="4986"/>
            <w:shd w:val="clear" w:fill="F7F8FA"/>
          </w:tcPr>
          <w:p>
            <w:r/>
            <w:r>
              <w:rPr>
                <w:rFonts w:eastAsia="Hiragino Sans" w:ascii="Hiragino Sans" w:hAnsi="Hiragino Sans"/>
                <w:b w:val="0"/>
                <w:sz w:val="18"/>
              </w:rPr>
              <w:t>Sample Manufacturing Co., Ltd.（サンプル製造株式会社）</w:t>
            </w:r>
          </w:p>
        </w:tc>
      </w:tr>
      <w:tr>
        <w:tc>
          <w:tcPr>
            <w:tcW w:type="dxa" w:w="4986"/>
          </w:tcPr>
          <w:p>
            <w:r/>
            <w:r>
              <w:rPr>
                <w:rFonts w:eastAsia="Hiragino Sans" w:ascii="Hiragino Sans" w:hAnsi="Hiragino Sans"/>
                <w:b w:val="0"/>
                <w:sz w:val="18"/>
              </w:rPr>
              <w:t>Listing</w:t>
            </w:r>
          </w:p>
        </w:tc>
        <w:tc>
          <w:tcPr>
            <w:tcW w:type="dxa" w:w="4986"/>
          </w:tcPr>
          <w:p>
            <w:r/>
            <w:r>
              <w:rPr>
                <w:rFonts w:eastAsia="Hiragino Sans" w:ascii="Hiragino Sans" w:hAnsi="Hiragino Sans"/>
                <w:b w:val="0"/>
                <w:sz w:val="18"/>
              </w:rPr>
              <w:t>Tokyo Stock Exchange (Prime Market)</w:t>
            </w:r>
          </w:p>
        </w:tc>
      </w:tr>
      <w:tr>
        <w:tc>
          <w:tcPr>
            <w:tcW w:type="dxa" w:w="4986"/>
            <w:shd w:val="clear" w:fill="F7F8FA"/>
          </w:tcPr>
          <w:p>
            <w:r/>
            <w:r>
              <w:rPr>
                <w:rFonts w:eastAsia="Hiragino Sans" w:ascii="Hiragino Sans" w:hAnsi="Hiragino Sans"/>
                <w:b w:val="0"/>
                <w:sz w:val="18"/>
              </w:rPr>
              <w:t>Securities code</w:t>
            </w:r>
          </w:p>
        </w:tc>
        <w:tc>
          <w:tcPr>
            <w:tcW w:type="dxa" w:w="4986"/>
            <w:shd w:val="clear" w:fill="F7F8FA"/>
          </w:tcPr>
          <w:p>
            <w:r/>
            <w:r>
              <w:rPr>
                <w:rFonts w:eastAsia="Hiragino Sans" w:ascii="Hiragino Sans" w:hAnsi="Hiragino Sans"/>
                <w:b w:val="0"/>
                <w:sz w:val="18"/>
              </w:rPr>
              <w:t>0000 (fictitious)</w:t>
            </w:r>
          </w:p>
        </w:tc>
      </w:tr>
      <w:tr>
        <w:tc>
          <w:tcPr>
            <w:tcW w:type="dxa" w:w="4986"/>
          </w:tcPr>
          <w:p>
            <w:r/>
            <w:r>
              <w:rPr>
                <w:rFonts w:eastAsia="Hiragino Sans" w:ascii="Hiragino Sans" w:hAnsi="Hiragino Sans"/>
                <w:b w:val="0"/>
                <w:sz w:val="18"/>
              </w:rPr>
              <w:t>Representative</w:t>
            </w:r>
          </w:p>
        </w:tc>
        <w:tc>
          <w:tcPr>
            <w:tcW w:type="dxa" w:w="4986"/>
          </w:tcPr>
          <w:p>
            <w:r/>
            <w:r>
              <w:rPr>
                <w:rFonts w:eastAsia="Hiragino Sans" w:ascii="Hiragino Sans" w:hAnsi="Hiragino Sans"/>
                <w:b w:val="0"/>
                <w:sz w:val="18"/>
              </w:rPr>
              <w:t>Seiichiro Fujikawa, President and Representative Director</w:t>
            </w:r>
          </w:p>
        </w:tc>
      </w:tr>
      <w:tr>
        <w:tc>
          <w:tcPr>
            <w:tcW w:type="dxa" w:w="4986"/>
            <w:shd w:val="clear" w:fill="F7F8FA"/>
          </w:tcPr>
          <w:p>
            <w:r/>
            <w:r>
              <w:rPr>
                <w:rFonts w:eastAsia="Hiragino Sans" w:ascii="Hiragino Sans" w:hAnsi="Hiragino Sans"/>
                <w:b w:val="0"/>
                <w:sz w:val="18"/>
              </w:rPr>
              <w:t>Inquiries</w:t>
            </w:r>
          </w:p>
        </w:tc>
        <w:tc>
          <w:tcPr>
            <w:tcW w:type="dxa" w:w="4986"/>
            <w:shd w:val="clear" w:fill="F7F8FA"/>
          </w:tcPr>
          <w:p>
            <w:r/>
            <w:r>
              <w:rPr>
                <w:rFonts w:eastAsia="Hiragino Sans" w:ascii="Hiragino Sans" w:hAnsi="Hiragino Sans"/>
                <w:b w:val="0"/>
                <w:sz w:val="18"/>
              </w:rPr>
              <w:t>Misaki Takatsu, Director and Executive Officer, General Manager of Corporate Administration Division (Telephone: +81-266-00-0000)</w:t>
            </w:r>
          </w:p>
        </w:tc>
      </w:tr>
      <w:tr>
        <w:tc>
          <w:tcPr>
            <w:tcW w:type="dxa" w:w="4986"/>
          </w:tcPr>
          <w:p>
            <w:r/>
            <w:r>
              <w:rPr>
                <w:rFonts w:eastAsia="Hiragino Sans" w:ascii="Hiragino Sans" w:hAnsi="Hiragino Sans"/>
                <w:b w:val="0"/>
                <w:sz w:val="18"/>
              </w:rPr>
              <w:t>Basis</w:t>
            </w:r>
          </w:p>
        </w:tc>
        <w:tc>
          <w:tcPr>
            <w:tcW w:type="dxa" w:w="4986"/>
          </w:tcPr>
          <w:p>
            <w:r/>
            <w:r>
              <w:rPr>
                <w:rFonts w:eastAsia="Hiragino Sans" w:ascii="Hiragino Sans" w:hAnsi="Hiragino Sans"/>
                <w:b w:val="0"/>
                <w:sz w:val="18"/>
              </w:rPr>
              <w:t>Tokyo Stock Exchange Securities Listing Regulations (timely disclosure of decisions and revisions to forecasts); TSE English Sample Disclosure Forms; Prime Market English-language disclosure requirement (from April 2025, simultaneous English disclosure of financial results and decisions/occurrences that materially affect investment decisions)</w:t>
            </w:r>
          </w:p>
        </w:tc>
      </w:tr>
      <w:tr>
        <w:tc>
          <w:tcPr>
            <w:tcW w:type="dxa" w:w="4986"/>
            <w:shd w:val="clear" w:fill="F7F8FA"/>
          </w:tcPr>
          <w:p>
            <w:r/>
            <w:r>
              <w:rPr>
                <w:rFonts w:eastAsia="Hiragino Sans" w:ascii="Hiragino Sans" w:hAnsi="Hiragino Sans"/>
                <w:b w:val="0"/>
                <w:sz w:val="18"/>
              </w:rPr>
              <w:t>Prepared by</w:t>
            </w:r>
          </w:p>
        </w:tc>
        <w:tc>
          <w:tcPr>
            <w:tcW w:type="dxa" w:w="4986"/>
            <w:shd w:val="clear" w:fill="F7F8FA"/>
          </w:tcPr>
          <w:p>
            <w:r/>
            <w:r>
              <w:rPr>
                <w:rFonts w:eastAsia="Hiragino Sans" w:ascii="Hiragino Sans" w:hAnsi="Hiragino Sans"/>
                <w:b w:val="0"/>
                <w:sz w:val="18"/>
              </w:rPr>
              <w:t>cpaai.jp (AI-generated draft)</w:t>
            </w:r>
          </w:p>
        </w:tc>
      </w:tr>
    </w:tbl>
    <w:p>
      <w:pPr>
        <w:spacing w:after="40"/>
      </w:pPr>
    </w:p>
    <w:p>
      <w:pPr>
        <w:ind w:left="120"/>
        <w:shd w:val="clear" w:fill="F3F4F6"/>
        <w:pBdr>
          <w:left w:val="single" w:sz="18" w:space="6" w:color="24406B"/>
        </w:pBdr>
      </w:pPr>
      <w:r>
        <w:rPr>
          <w:rFonts w:eastAsia="Hiragino Sans" w:ascii="Hiragino Sans" w:hAnsi="Hiragino Sans"/>
          <w:b w:val="0"/>
          <w:i/>
          <w:color w:val="444444"/>
          <w:sz w:val="18"/>
        </w:rPr>
        <w:t>チェック観点（日本語）: 東証「英文開示様式例」（決定事実＝Decisions／その他＝Other Matters）の項目名・定型文（hereby announces that it has resolved, at a meeting of the Board of Directors held on ...）に倣う。原文優先の定型注記は TDnet に個別登録する文書ごと（Part 1〜3 の各末尾）に置く。数値・日付は日本語の適時開示ドラフト集と同一（check:sample-consistency で突合）。プライム市場の英文同時開示（2025年4月〜）は決算情報と「投資判断に重要な影響を与える決定事実・発生事実」が対象であり、3本とも同時開示の対象として扱う。役職の英訳（President and Representative Director 等）は決算短信英文版・CG報告書（英文）と統一する。</w:t>
      </w:r>
    </w:p>
    <w:p>
      <w:pPr>
        <w:jc w:val="center"/>
      </w:pPr>
      <w:r>
        <w:t>────────────────────────────────────────</w:t>
      </w:r>
    </w:p>
    <w:p>
      <w:pPr>
        <w:pStyle w:val="Heading1"/>
      </w:pPr>
      <w:r>
        <w:t>Part 1 — Notice Concerning Revisions to Full-Year Financial Results Forecasts</w:t>
      </w:r>
    </w:p>
    <w:p>
      <w:pPr>
        <w:spacing w:after="80"/>
      </w:pPr>
      <w:r>
        <w:rPr>
          <w:rFonts w:eastAsia="Hiragino Sans" w:ascii="Hiragino Sans" w:hAnsi="Hiragino Sans"/>
          <w:b w:val="0"/>
          <w:i w:val="0"/>
        </w:rPr>
        <w:t>February 10, 2026</w:t>
      </w:r>
    </w:p>
    <w:p>
      <w:pPr>
        <w:spacing w:after="80"/>
      </w:pPr>
      <w:r>
        <w:rPr>
          <w:rFonts w:eastAsia="Hiragino Sans" w:ascii="Hiragino Sans" w:hAnsi="Hiragino Sans"/>
          <w:b w:val="0"/>
          <w:i w:val="0"/>
        </w:rPr>
        <w:t>To whom it may concern:</w:t>
      </w:r>
    </w:p>
    <w:tbl>
      <w:tblPr>
        <w:tblStyle w:val="TableGrid"/>
        <w:tblW w:type="auto" w:w="0"/>
        <w:jc w:val="center"/>
        <w:tblLayout w:type="autofit"/>
        <w:tblLook w:firstColumn="1" w:firstRow="1" w:lastColumn="0" w:lastRow="0" w:noHBand="0" w:noVBand="1" w:val="04A0"/>
      </w:tblPr>
      <w:tblGrid>
        <w:gridCol w:w="4986"/>
        <w:gridCol w:w="4986"/>
      </w:tblGrid>
      <w:tr>
        <w:tc>
          <w:tcPr>
            <w:tcW w:type="dxa" w:w="4986"/>
            <w:shd w:val="clear" w:fill="24406B"/>
          </w:tcPr>
          <w:p>
            <w:r/>
            <w:r>
              <w:rPr>
                <w:rFonts w:eastAsia="Hiragino Sans" w:ascii="Hiragino Sans" w:hAnsi="Hiragino Sans"/>
                <w:b/>
                <w:color w:val="FFFFFF"/>
                <w:sz w:val="18"/>
              </w:rPr>
              <w:t>Item</w:t>
            </w:r>
          </w:p>
        </w:tc>
        <w:tc>
          <w:tcPr>
            <w:tcW w:type="dxa" w:w="4986"/>
            <w:shd w:val="clear" w:fill="24406B"/>
          </w:tcPr>
          <w:p>
            <w:r/>
            <w:r>
              <w:rPr>
                <w:rFonts w:eastAsia="Hiragino Sans" w:ascii="Hiragino Sans" w:hAnsi="Hiragino Sans"/>
                <w:b/>
                <w:color w:val="FFFFFF"/>
                <w:sz w:val="18"/>
              </w:rPr>
              <w:t>Description</w:t>
            </w:r>
          </w:p>
        </w:tc>
      </w:tr>
      <w:tr>
        <w:tc>
          <w:tcPr>
            <w:tcW w:type="dxa" w:w="4986"/>
          </w:tcPr>
          <w:p>
            <w:r/>
            <w:r>
              <w:rPr>
                <w:rFonts w:eastAsia="Hiragino Sans" w:ascii="Hiragino Sans" w:hAnsi="Hiragino Sans"/>
                <w:b w:val="0"/>
                <w:sz w:val="18"/>
              </w:rPr>
              <w:t>Company name</w:t>
            </w:r>
          </w:p>
        </w:tc>
        <w:tc>
          <w:tcPr>
            <w:tcW w:type="dxa" w:w="4986"/>
          </w:tcPr>
          <w:p>
            <w:r/>
            <w:r>
              <w:rPr>
                <w:rFonts w:eastAsia="Hiragino Sans" w:ascii="Hiragino Sans" w:hAnsi="Hiragino Sans"/>
                <w:b w:val="0"/>
                <w:sz w:val="18"/>
              </w:rPr>
              <w:t>Sample Manufacturing Co., Ltd.</w:t>
            </w:r>
          </w:p>
        </w:tc>
      </w:tr>
      <w:tr>
        <w:tc>
          <w:tcPr>
            <w:tcW w:type="dxa" w:w="4986"/>
            <w:shd w:val="clear" w:fill="F7F8FA"/>
          </w:tcPr>
          <w:p>
            <w:r/>
            <w:r>
              <w:rPr>
                <w:rFonts w:eastAsia="Hiragino Sans" w:ascii="Hiragino Sans" w:hAnsi="Hiragino Sans"/>
                <w:b w:val="0"/>
                <w:sz w:val="18"/>
              </w:rPr>
              <w:t>Name of representative</w:t>
            </w:r>
          </w:p>
        </w:tc>
        <w:tc>
          <w:tcPr>
            <w:tcW w:type="dxa" w:w="4986"/>
            <w:shd w:val="clear" w:fill="F7F8FA"/>
          </w:tcPr>
          <w:p>
            <w:r/>
            <w:r>
              <w:rPr>
                <w:rFonts w:eastAsia="Hiragino Sans" w:ascii="Hiragino Sans" w:hAnsi="Hiragino Sans"/>
                <w:b w:val="0"/>
                <w:sz w:val="18"/>
              </w:rPr>
              <w:t>Seiichiro Fujikawa, President and Representative Director (Securities code: 0000; TSE Prime Market)</w:t>
            </w:r>
          </w:p>
        </w:tc>
      </w:tr>
      <w:tr>
        <w:tc>
          <w:tcPr>
            <w:tcW w:type="dxa" w:w="4986"/>
          </w:tcPr>
          <w:p>
            <w:r/>
            <w:r>
              <w:rPr>
                <w:rFonts w:eastAsia="Hiragino Sans" w:ascii="Hiragino Sans" w:hAnsi="Hiragino Sans"/>
                <w:b w:val="0"/>
                <w:sz w:val="18"/>
              </w:rPr>
              <w:t>Inquiries</w:t>
            </w:r>
          </w:p>
        </w:tc>
        <w:tc>
          <w:tcPr>
            <w:tcW w:type="dxa" w:w="4986"/>
          </w:tcPr>
          <w:p>
            <w:r/>
            <w:r>
              <w:rPr>
                <w:rFonts w:eastAsia="Hiragino Sans" w:ascii="Hiragino Sans" w:hAnsi="Hiragino Sans"/>
                <w:b w:val="0"/>
                <w:sz w:val="18"/>
              </w:rPr>
              <w:t>Misaki Takatsu, Director and Executive Officer, General Manager of Corporate Administration Division (Telephone: +81-266-00-0000)</w:t>
            </w:r>
          </w:p>
        </w:tc>
      </w:tr>
    </w:tbl>
    <w:p>
      <w:pPr>
        <w:spacing w:after="40"/>
      </w:pPr>
    </w:p>
    <w:p>
      <w:pPr>
        <w:spacing w:after="80"/>
      </w:pPr>
      <w:r>
        <w:rPr>
          <w:rFonts w:eastAsia="Hiragino Sans" w:ascii="Hiragino Sans" w:hAnsi="Hiragino Sans"/>
          <w:b/>
          <w:i w:val="0"/>
        </w:rPr>
        <w:t>Notice Concerning Revisions to Full-Year Consolidated Financial Results Forecasts for the Fiscal Year Ending March 31, 2026</w:t>
      </w:r>
    </w:p>
    <w:p>
      <w:pPr>
        <w:spacing w:after="80"/>
      </w:pPr>
      <w:r>
        <w:rPr>
          <w:rFonts w:eastAsia="Hiragino Sans" w:ascii="Hiragino Sans" w:hAnsi="Hiragino Sans"/>
          <w:b w:val="0"/>
          <w:i w:val="0"/>
        </w:rPr>
        <w:t>Sample Manufacturing Co., Ltd. (the "Company") hereby announces that, in light of the most recent operating trends, it has revised the consolidated financial results forecasts for the fiscal year ending March 31, 2026 (April 1, 2025 through March 31, 2026) announced on May 14, 2025, as described below.</w:t>
      </w:r>
    </w:p>
    <w:p>
      <w:pPr>
        <w:pStyle w:val="Heading2"/>
      </w:pPr>
      <w:r>
        <w:t>1. Revisions to consolidated financial results forecasts for the current fiscal year (April 1, 2025 through March 31, 2026)</w:t>
      </w:r>
    </w:p>
    <w:p>
      <w:pPr>
        <w:spacing w:after="80"/>
      </w:pPr>
      <w:r>
        <w:rPr>
          <w:rFonts w:eastAsia="Hiragino Sans" w:ascii="Hiragino Sans" w:hAnsi="Hiragino Sans"/>
          <w:b w:val="0"/>
          <w:i w:val="0"/>
        </w:rPr>
        <w:t>(Millions of yen)</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gridCol w:w="1662"/>
      </w:tblGrid>
      <w:tr>
        <w:tc>
          <w:tcPr>
            <w:tcW w:type="dxa" w:w="1662"/>
            <w:shd w:val="clear" w:fill="24406B"/>
          </w:tcPr>
          <w:p>
            <w:r/>
            <w:r>
              <w:rPr>
                <w:rFonts w:eastAsia="Hiragino Sans" w:ascii="Hiragino Sans" w:hAnsi="Hiragino Sans"/>
                <w:b/>
                <w:color w:val="FFFFFF"/>
                <w:sz w:val="18"/>
              </w:rPr>
            </w:r>
          </w:p>
        </w:tc>
        <w:tc>
          <w:tcPr>
            <w:tcW w:type="dxa" w:w="1662"/>
            <w:shd w:val="clear" w:fill="24406B"/>
          </w:tcPr>
          <w:p>
            <w:r/>
            <w:r>
              <w:rPr>
                <w:rFonts w:eastAsia="Hiragino Sans" w:ascii="Hiragino Sans" w:hAnsi="Hiragino Sans"/>
                <w:b/>
                <w:color w:val="FFFFFF"/>
                <w:sz w:val="18"/>
              </w:rPr>
              <w:t>Consolidated net sales</w:t>
            </w:r>
          </w:p>
        </w:tc>
        <w:tc>
          <w:tcPr>
            <w:tcW w:type="dxa" w:w="1662"/>
            <w:shd w:val="clear" w:fill="24406B"/>
          </w:tcPr>
          <w:p>
            <w:r/>
            <w:r>
              <w:rPr>
                <w:rFonts w:eastAsia="Hiragino Sans" w:ascii="Hiragino Sans" w:hAnsi="Hiragino Sans"/>
                <w:b/>
                <w:color w:val="FFFFFF"/>
                <w:sz w:val="18"/>
              </w:rPr>
              <w:t>Consolidated operating profit</w:t>
            </w:r>
          </w:p>
        </w:tc>
        <w:tc>
          <w:tcPr>
            <w:tcW w:type="dxa" w:w="1662"/>
            <w:shd w:val="clear" w:fill="24406B"/>
          </w:tcPr>
          <w:p>
            <w:r/>
            <w:r>
              <w:rPr>
                <w:rFonts w:eastAsia="Hiragino Sans" w:ascii="Hiragino Sans" w:hAnsi="Hiragino Sans"/>
                <w:b/>
                <w:color w:val="FFFFFF"/>
                <w:sz w:val="18"/>
              </w:rPr>
              <w:t>Consolidated ordinary profit</w:t>
            </w:r>
          </w:p>
        </w:tc>
        <w:tc>
          <w:tcPr>
            <w:tcW w:type="dxa" w:w="1662"/>
            <w:shd w:val="clear" w:fill="24406B"/>
          </w:tcPr>
          <w:p>
            <w:r/>
            <w:r>
              <w:rPr>
                <w:rFonts w:eastAsia="Hiragino Sans" w:ascii="Hiragino Sans" w:hAnsi="Hiragino Sans"/>
                <w:b/>
                <w:color w:val="FFFFFF"/>
                <w:sz w:val="18"/>
              </w:rPr>
              <w:t>Profit attributable to owners of parent</w:t>
            </w:r>
          </w:p>
        </w:tc>
        <w:tc>
          <w:tcPr>
            <w:tcW w:type="dxa" w:w="1662"/>
            <w:shd w:val="clear" w:fill="24406B"/>
          </w:tcPr>
          <w:p>
            <w:r/>
            <w:r>
              <w:rPr>
                <w:rFonts w:eastAsia="Hiragino Sans" w:ascii="Hiragino Sans" w:hAnsi="Hiragino Sans"/>
                <w:b/>
                <w:color w:val="FFFFFF"/>
                <w:sz w:val="18"/>
              </w:rPr>
              <w:t>Consolidated earnings per share</w:t>
            </w:r>
          </w:p>
        </w:tc>
      </w:tr>
      <w:tr>
        <w:tc>
          <w:tcPr>
            <w:tcW w:type="dxa" w:w="1662"/>
          </w:tcPr>
          <w:p>
            <w:r/>
            <w:r>
              <w:rPr>
                <w:rFonts w:eastAsia="Hiragino Sans" w:ascii="Hiragino Sans" w:hAnsi="Hiragino Sans"/>
                <w:b w:val="0"/>
                <w:sz w:val="18"/>
              </w:rPr>
              <w:t>Previously announced forecasts (A)</w:t>
            </w:r>
          </w:p>
        </w:tc>
        <w:tc>
          <w:tcPr>
            <w:tcW w:type="dxa" w:w="1662"/>
          </w:tcPr>
          <w:p>
            <w:r/>
            <w:r>
              <w:rPr>
                <w:rFonts w:eastAsia="Hiragino Sans" w:ascii="Hiragino Sans" w:hAnsi="Hiragino Sans"/>
                <w:b w:val="0"/>
                <w:sz w:val="18"/>
              </w:rPr>
              <w:t>48,000</w:t>
            </w:r>
          </w:p>
        </w:tc>
        <w:tc>
          <w:tcPr>
            <w:tcW w:type="dxa" w:w="1662"/>
          </w:tcPr>
          <w:p>
            <w:r/>
            <w:r>
              <w:rPr>
                <w:rFonts w:eastAsia="Hiragino Sans" w:ascii="Hiragino Sans" w:hAnsi="Hiragino Sans"/>
                <w:b w:val="0"/>
                <w:sz w:val="18"/>
              </w:rPr>
              <w:t>3,750</w:t>
            </w:r>
          </w:p>
        </w:tc>
        <w:tc>
          <w:tcPr>
            <w:tcW w:type="dxa" w:w="1662"/>
          </w:tcPr>
          <w:p>
            <w:r/>
            <w:r>
              <w:rPr>
                <w:rFonts w:eastAsia="Hiragino Sans" w:ascii="Hiragino Sans" w:hAnsi="Hiragino Sans"/>
                <w:b w:val="0"/>
                <w:sz w:val="18"/>
              </w:rPr>
              <w:t>3,950</w:t>
            </w:r>
          </w:p>
        </w:tc>
        <w:tc>
          <w:tcPr>
            <w:tcW w:type="dxa" w:w="1662"/>
          </w:tcPr>
          <w:p>
            <w:r/>
            <w:r>
              <w:rPr>
                <w:rFonts w:eastAsia="Hiragino Sans" w:ascii="Hiragino Sans" w:hAnsi="Hiragino Sans"/>
                <w:b w:val="0"/>
                <w:sz w:val="18"/>
              </w:rPr>
              <w:t>2,600</w:t>
            </w:r>
          </w:p>
        </w:tc>
        <w:tc>
          <w:tcPr>
            <w:tcW w:type="dxa" w:w="1662"/>
          </w:tcPr>
          <w:p>
            <w:r/>
            <w:r>
              <w:rPr>
                <w:rFonts w:eastAsia="Hiragino Sans" w:ascii="Hiragino Sans" w:hAnsi="Hiragino Sans"/>
                <w:b w:val="0"/>
                <w:sz w:val="18"/>
              </w:rPr>
              <w:t>¥103.13</w:t>
            </w:r>
          </w:p>
        </w:tc>
      </w:tr>
      <w:tr>
        <w:tc>
          <w:tcPr>
            <w:tcW w:type="dxa" w:w="1662"/>
            <w:shd w:val="clear" w:fill="F7F8FA"/>
          </w:tcPr>
          <w:p>
            <w:r/>
            <w:r>
              <w:rPr>
                <w:rFonts w:eastAsia="Hiragino Sans" w:ascii="Hiragino Sans" w:hAnsi="Hiragino Sans"/>
                <w:b w:val="0"/>
                <w:sz w:val="18"/>
              </w:rPr>
              <w:t>Revised forecasts (B)</w:t>
            </w:r>
          </w:p>
        </w:tc>
        <w:tc>
          <w:tcPr>
            <w:tcW w:type="dxa" w:w="1662"/>
            <w:shd w:val="clear" w:fill="F7F8FA"/>
          </w:tcPr>
          <w:p>
            <w:r/>
            <w:r>
              <w:rPr>
                <w:rFonts w:eastAsia="Hiragino Sans" w:ascii="Hiragino Sans" w:hAnsi="Hiragino Sans"/>
                <w:b w:val="0"/>
                <w:sz w:val="18"/>
              </w:rPr>
              <w:t>48,500</w:t>
            </w:r>
          </w:p>
        </w:tc>
        <w:tc>
          <w:tcPr>
            <w:tcW w:type="dxa" w:w="1662"/>
            <w:shd w:val="clear" w:fill="F7F8FA"/>
          </w:tcPr>
          <w:p>
            <w:r/>
            <w:r>
              <w:rPr>
                <w:rFonts w:eastAsia="Hiragino Sans" w:ascii="Hiragino Sans" w:hAnsi="Hiragino Sans"/>
                <w:b w:val="0"/>
                <w:sz w:val="18"/>
              </w:rPr>
              <w:t>3,900</w:t>
            </w:r>
          </w:p>
        </w:tc>
        <w:tc>
          <w:tcPr>
            <w:tcW w:type="dxa" w:w="1662"/>
            <w:shd w:val="clear" w:fill="F7F8FA"/>
          </w:tcPr>
          <w:p>
            <w:r/>
            <w:r>
              <w:rPr>
                <w:rFonts w:eastAsia="Hiragino Sans" w:ascii="Hiragino Sans" w:hAnsi="Hiragino Sans"/>
                <w:b w:val="0"/>
                <w:sz w:val="18"/>
              </w:rPr>
              <w:t>4,100</w:t>
            </w:r>
          </w:p>
        </w:tc>
        <w:tc>
          <w:tcPr>
            <w:tcW w:type="dxa" w:w="1662"/>
            <w:shd w:val="clear" w:fill="F7F8FA"/>
          </w:tcPr>
          <w:p>
            <w:r/>
            <w:r>
              <w:rPr>
                <w:rFonts w:eastAsia="Hiragino Sans" w:ascii="Hiragino Sans" w:hAnsi="Hiragino Sans"/>
                <w:b w:val="0"/>
                <w:sz w:val="18"/>
              </w:rPr>
              <w:t>2,700</w:t>
            </w:r>
          </w:p>
        </w:tc>
        <w:tc>
          <w:tcPr>
            <w:tcW w:type="dxa" w:w="1662"/>
            <w:shd w:val="clear" w:fill="F7F8FA"/>
          </w:tcPr>
          <w:p>
            <w:r/>
            <w:r>
              <w:rPr>
                <w:rFonts w:eastAsia="Hiragino Sans" w:ascii="Hiragino Sans" w:hAnsi="Hiragino Sans"/>
                <w:b w:val="0"/>
                <w:sz w:val="18"/>
              </w:rPr>
              <w:t>¥107.16</w:t>
            </w:r>
          </w:p>
        </w:tc>
      </w:tr>
      <w:tr>
        <w:tc>
          <w:tcPr>
            <w:tcW w:type="dxa" w:w="1662"/>
          </w:tcPr>
          <w:p>
            <w:r/>
            <w:r>
              <w:rPr>
                <w:rFonts w:eastAsia="Hiragino Sans" w:ascii="Hiragino Sans" w:hAnsi="Hiragino Sans"/>
                <w:b w:val="0"/>
                <w:sz w:val="18"/>
              </w:rPr>
              <w:t>Change (B-A)</w:t>
            </w:r>
          </w:p>
        </w:tc>
        <w:tc>
          <w:tcPr>
            <w:tcW w:type="dxa" w:w="1662"/>
          </w:tcPr>
          <w:p>
            <w:r/>
            <w:r>
              <w:rPr>
                <w:rFonts w:eastAsia="Hiragino Sans" w:ascii="Hiragino Sans" w:hAnsi="Hiragino Sans"/>
                <w:b w:val="0"/>
                <w:sz w:val="18"/>
              </w:rPr>
              <w:t>500</w:t>
            </w:r>
          </w:p>
        </w:tc>
        <w:tc>
          <w:tcPr>
            <w:tcW w:type="dxa" w:w="1662"/>
          </w:tcPr>
          <w:p>
            <w:r/>
            <w:r>
              <w:rPr>
                <w:rFonts w:eastAsia="Hiragino Sans" w:ascii="Hiragino Sans" w:hAnsi="Hiragino Sans"/>
                <w:b w:val="0"/>
                <w:sz w:val="18"/>
              </w:rPr>
              <w:t>150</w:t>
            </w:r>
          </w:p>
        </w:tc>
        <w:tc>
          <w:tcPr>
            <w:tcW w:type="dxa" w:w="1662"/>
          </w:tcPr>
          <w:p>
            <w:r/>
            <w:r>
              <w:rPr>
                <w:rFonts w:eastAsia="Hiragino Sans" w:ascii="Hiragino Sans" w:hAnsi="Hiragino Sans"/>
                <w:b w:val="0"/>
                <w:sz w:val="18"/>
              </w:rPr>
              <w:t>150</w:t>
            </w:r>
          </w:p>
        </w:tc>
        <w:tc>
          <w:tcPr>
            <w:tcW w:type="dxa" w:w="1662"/>
          </w:tcPr>
          <w:p>
            <w:r/>
            <w:r>
              <w:rPr>
                <w:rFonts w:eastAsia="Hiragino Sans" w:ascii="Hiragino Sans" w:hAnsi="Hiragino Sans"/>
                <w:b w:val="0"/>
                <w:sz w:val="18"/>
              </w:rPr>
              <w:t>100</w:t>
            </w:r>
          </w:p>
        </w:tc>
        <w:tc>
          <w:tcPr>
            <w:tcW w:type="dxa" w:w="1662"/>
          </w:tcPr>
          <w:p>
            <w:r/>
            <w:r>
              <w:rPr>
                <w:rFonts w:eastAsia="Hiragino Sans" w:ascii="Hiragino Sans" w:hAnsi="Hiragino Sans"/>
                <w:b w:val="0"/>
                <w:sz w:val="18"/>
              </w:rPr>
              <w:t>–</w:t>
            </w:r>
          </w:p>
        </w:tc>
      </w:tr>
      <w:tr>
        <w:tc>
          <w:tcPr>
            <w:tcW w:type="dxa" w:w="1662"/>
            <w:shd w:val="clear" w:fill="F7F8FA"/>
          </w:tcPr>
          <w:p>
            <w:r/>
            <w:r>
              <w:rPr>
                <w:rFonts w:eastAsia="Hiragino Sans" w:ascii="Hiragino Sans" w:hAnsi="Hiragino Sans"/>
                <w:b w:val="0"/>
                <w:sz w:val="18"/>
              </w:rPr>
              <w:t>Change (%)</w:t>
            </w:r>
          </w:p>
        </w:tc>
        <w:tc>
          <w:tcPr>
            <w:tcW w:type="dxa" w:w="1662"/>
            <w:shd w:val="clear" w:fill="F7F8FA"/>
          </w:tcPr>
          <w:p>
            <w:r/>
            <w:r>
              <w:rPr>
                <w:rFonts w:eastAsia="Hiragino Sans" w:ascii="Hiragino Sans" w:hAnsi="Hiragino Sans"/>
                <w:b w:val="0"/>
                <w:sz w:val="18"/>
              </w:rPr>
              <w:t>1.0</w:t>
            </w:r>
          </w:p>
        </w:tc>
        <w:tc>
          <w:tcPr>
            <w:tcW w:type="dxa" w:w="1662"/>
            <w:shd w:val="clear" w:fill="F7F8FA"/>
          </w:tcPr>
          <w:p>
            <w:r/>
            <w:r>
              <w:rPr>
                <w:rFonts w:eastAsia="Hiragino Sans" w:ascii="Hiragino Sans" w:hAnsi="Hiragino Sans"/>
                <w:b w:val="0"/>
                <w:sz w:val="18"/>
              </w:rPr>
              <w:t>4.0</w:t>
            </w:r>
          </w:p>
        </w:tc>
        <w:tc>
          <w:tcPr>
            <w:tcW w:type="dxa" w:w="1662"/>
            <w:shd w:val="clear" w:fill="F7F8FA"/>
          </w:tcPr>
          <w:p>
            <w:r/>
            <w:r>
              <w:rPr>
                <w:rFonts w:eastAsia="Hiragino Sans" w:ascii="Hiragino Sans" w:hAnsi="Hiragino Sans"/>
                <w:b w:val="0"/>
                <w:sz w:val="18"/>
              </w:rPr>
              <w:t>3.8</w:t>
            </w:r>
          </w:p>
        </w:tc>
        <w:tc>
          <w:tcPr>
            <w:tcW w:type="dxa" w:w="1662"/>
            <w:shd w:val="clear" w:fill="F7F8FA"/>
          </w:tcPr>
          <w:p>
            <w:r/>
            <w:r>
              <w:rPr>
                <w:rFonts w:eastAsia="Hiragino Sans" w:ascii="Hiragino Sans" w:hAnsi="Hiragino Sans"/>
                <w:b w:val="0"/>
                <w:sz w:val="18"/>
              </w:rPr>
              <w:t>3.8</w:t>
            </w:r>
          </w:p>
        </w:tc>
        <w:tc>
          <w:tcPr>
            <w:tcW w:type="dxa" w:w="1662"/>
            <w:shd w:val="clear" w:fill="F7F8FA"/>
          </w:tcPr>
          <w:p>
            <w:r/>
            <w:r>
              <w:rPr>
                <w:rFonts w:eastAsia="Hiragino Sans" w:ascii="Hiragino Sans" w:hAnsi="Hiragino Sans"/>
                <w:b w:val="0"/>
                <w:sz w:val="18"/>
              </w:rPr>
              <w:t>–</w:t>
            </w:r>
          </w:p>
        </w:tc>
      </w:tr>
      <w:tr>
        <w:tc>
          <w:tcPr>
            <w:tcW w:type="dxa" w:w="1662"/>
          </w:tcPr>
          <w:p>
            <w:r/>
            <w:r>
              <w:rPr>
                <w:rFonts w:eastAsia="Hiragino Sans" w:ascii="Hiragino Sans" w:hAnsi="Hiragino Sans"/>
                <w:b w:val="0"/>
                <w:sz w:val="18"/>
              </w:rPr>
              <w:t>(Reference) Actual consolidated results for the previous fiscal year (Fiscal year ended March 31, 2025)</w:t>
            </w:r>
          </w:p>
        </w:tc>
        <w:tc>
          <w:tcPr>
            <w:tcW w:type="dxa" w:w="1662"/>
          </w:tcPr>
          <w:p>
            <w:r/>
            <w:r>
              <w:rPr>
                <w:rFonts w:eastAsia="Hiragino Sans" w:ascii="Hiragino Sans" w:hAnsi="Hiragino Sans"/>
                <w:b w:val="0"/>
                <w:sz w:val="18"/>
              </w:rPr>
              <w:t>46,500</w:t>
            </w:r>
          </w:p>
        </w:tc>
        <w:tc>
          <w:tcPr>
            <w:tcW w:type="dxa" w:w="1662"/>
          </w:tcPr>
          <w:p>
            <w:r/>
            <w:r>
              <w:rPr>
                <w:rFonts w:eastAsia="Hiragino Sans" w:ascii="Hiragino Sans" w:hAnsi="Hiragino Sans"/>
                <w:b w:val="0"/>
                <w:sz w:val="18"/>
              </w:rPr>
              <w:t>3,680</w:t>
            </w:r>
          </w:p>
        </w:tc>
        <w:tc>
          <w:tcPr>
            <w:tcW w:type="dxa" w:w="1662"/>
          </w:tcPr>
          <w:p>
            <w:r/>
            <w:r>
              <w:rPr>
                <w:rFonts w:eastAsia="Hiragino Sans" w:ascii="Hiragino Sans" w:hAnsi="Hiragino Sans"/>
                <w:b w:val="0"/>
                <w:sz w:val="18"/>
              </w:rPr>
              <w:t>3,890</w:t>
            </w:r>
          </w:p>
        </w:tc>
        <w:tc>
          <w:tcPr>
            <w:tcW w:type="dxa" w:w="1662"/>
          </w:tcPr>
          <w:p>
            <w:r/>
            <w:r>
              <w:rPr>
                <w:rFonts w:eastAsia="Hiragino Sans" w:ascii="Hiragino Sans" w:hAnsi="Hiragino Sans"/>
                <w:b w:val="0"/>
                <w:sz w:val="18"/>
              </w:rPr>
              <w:t>2,510</w:t>
            </w:r>
          </w:p>
        </w:tc>
        <w:tc>
          <w:tcPr>
            <w:tcW w:type="dxa" w:w="1662"/>
          </w:tcPr>
          <w:p>
            <w:r/>
            <w:r>
              <w:rPr>
                <w:rFonts w:eastAsia="Hiragino Sans" w:ascii="Hiragino Sans" w:hAnsi="Hiragino Sans"/>
                <w:b w:val="0"/>
                <w:sz w:val="18"/>
              </w:rPr>
              <w:t>¥99.52</w:t>
            </w:r>
          </w:p>
        </w:tc>
      </w:tr>
    </w:tbl>
    <w:p>
      <w:pPr>
        <w:spacing w:after="40"/>
      </w:pPr>
    </w:p>
    <w:p>
      <w:pPr>
        <w:pStyle w:val="ListBullet"/>
        <w:ind w:left="240"/>
      </w:pPr>
      <w:r>
        <w:rPr>
          <w:rFonts w:eastAsia="Hiragino Sans" w:ascii="Hiragino Sans" w:hAnsi="Hiragino Sans"/>
          <w:b w:val="0"/>
          <w:sz w:val="20"/>
        </w:rPr>
        <w:t>(Note) Consolidated earnings per share (forecast) is calculated based on the number of issued shares (excluding treasury shares) of 25,210 thousand as of March 31, 2025 for the previously announced forecasts, and on the average number of shares outstanding during the first nine months of the fiscal year of 25,196 thousand for the revised forecasts.</w:t>
      </w:r>
    </w:p>
    <w:p>
      <w:pPr>
        <w:pStyle w:val="Heading2"/>
      </w:pPr>
      <w:r>
        <w:t>2. Reason for revision</w:t>
      </w:r>
    </w:p>
    <w:p>
      <w:pPr>
        <w:spacing w:after="80"/>
      </w:pPr>
      <w:r>
        <w:rPr>
          <w:rFonts w:eastAsia="Hiragino Sans" w:ascii="Hiragino Sans" w:hAnsi="Hiragino Sans"/>
          <w:b w:val="0"/>
          <w:i w:val="0"/>
        </w:rPr>
        <w:t>In the first nine months of the fiscal year, demand for precision components for semiconductor manufacturing equipment in the Precision Equipment segment exceeded the Company's assumptions against the backdrop of investment related to generative AI, and profitability in the Electronic Components segment improved through growth in in-vehicle sensor modules and the effect of price revisions. On the other hand, the yen has appreciated toward the latter half of the fiscal year (assumed exchange rate for the fourth quarter: ¥138 to the U.S. dollar, compared with ¥145 previously assumed), which is expected to partly offset the improvement.</w:t>
      </w:r>
    </w:p>
    <w:p>
      <w:pPr>
        <w:spacing w:after="80"/>
      </w:pPr>
      <w:r>
        <w:rPr>
          <w:rFonts w:eastAsia="Hiragino Sans" w:ascii="Hiragino Sans" w:hAnsi="Hiragino Sans"/>
          <w:b w:val="0"/>
          <w:i w:val="0"/>
        </w:rPr>
        <w:t>Taking these factors into account, net sales and each level of profit are now expected to exceed the previously announced forecasts, and the Company has therefore revised its full-year consolidated financial results forecasts as described above. This revision does not meet the numerical criteria for the disclosure of revisions to forecasts prescribed by the Tokyo Stock Exchange (a change of 10% or more in net sales, or 30% or more in operating profit, ordinary profit or profit attributable to owners of parent) and is made voluntarily to assist investors in making investment decisions.</w:t>
      </w:r>
    </w:p>
    <w:p>
      <w:pPr>
        <w:spacing w:after="80"/>
      </w:pPr>
      <w:r>
        <w:rPr>
          <w:rFonts w:eastAsia="Hiragino Sans" w:ascii="Hiragino Sans" w:hAnsi="Hiragino Sans"/>
          <w:b w:val="0"/>
          <w:i w:val="0"/>
        </w:rPr>
        <w:t>There is no change to the dividend forecasts of ¥34 per share for the full year (interim dividend of ¥17 and year-end dividend of ¥17) announced on November 10, 2025.</w:t>
      </w:r>
    </w:p>
    <w:p>
      <w:pPr>
        <w:pStyle w:val="ListBullet"/>
        <w:ind w:left="240"/>
      </w:pPr>
      <w:r>
        <w:rPr>
          <w:rFonts w:eastAsia="Hiragino Sans" w:ascii="Hiragino Sans" w:hAnsi="Hiragino Sans"/>
          <w:b w:val="0"/>
          <w:sz w:val="20"/>
        </w:rPr>
        <w:t>(Note) The above forecasts are based on information available as of the date of this notice, and actual results may differ from the forecasts due to various factors.</w:t>
      </w:r>
    </w:p>
    <w:p>
      <w:pPr>
        <w:ind w:left="120"/>
        <w:shd w:val="clear" w:fill="F3F4F6"/>
        <w:pBdr>
          <w:left w:val="single" w:sz="18" w:space="6" w:color="24406B"/>
        </w:pBdr>
      </w:pPr>
      <w:r>
        <w:rPr>
          <w:rFonts w:eastAsia="Hiragino Sans" w:ascii="Hiragino Sans" w:hAnsi="Hiragino Sans"/>
          <w:b w:val="0"/>
          <w:i/>
          <w:color w:val="444444"/>
          <w:sz w:val="18"/>
        </w:rPr>
        <w:t>This document has been translated from the Japanese original for reference purposes only. In the event of any discrepancy between this translated document and the Japanese original, the original shall prevail.</w:t>
      </w:r>
    </w:p>
    <w:p>
      <w:pPr>
        <w:ind w:left="120"/>
        <w:shd w:val="clear" w:fill="F3F4F6"/>
        <w:pBdr>
          <w:left w:val="single" w:sz="18" w:space="6" w:color="24406B"/>
        </w:pBdr>
      </w:pPr>
      <w:r>
        <w:rPr>
          <w:rFonts w:eastAsia="Hiragino Sans" w:ascii="Hiragino Sans" w:hAnsi="Hiragino Sans"/>
          <w:b w:val="0"/>
          <w:i/>
          <w:color w:val="444444"/>
          <w:sz w:val="18"/>
        </w:rPr>
        <w:t>チェック観点（日本語）: 修正前後の数値・修正日（2026年2月10日）・前回公表日（2025年5月14日）・為替前提は日本語版と同一。「10%・30%基準に非該当＝任意開示」の記述を英語でも落とさない。EPS の算定基礎（前回＝2025年3月31日現在25,210千株、今回＝第3四半期累計の期中平均25,196千株）を注記で明示する。</w:t>
      </w:r>
    </w:p>
    <w:p>
      <w:pPr>
        <w:jc w:val="center"/>
      </w:pPr>
      <w:r>
        <w:t>────────────────────────────────────────</w:t>
      </w:r>
    </w:p>
    <w:p>
      <w:pPr>
        <w:pStyle w:val="Heading1"/>
      </w:pPr>
      <w:r>
        <w:t>Part 2 — Notice Concerning Determination of Matters Related to Acquisition of Own Shares</w:t>
      </w:r>
    </w:p>
    <w:p>
      <w:pPr>
        <w:spacing w:after="80"/>
      </w:pPr>
      <w:r>
        <w:rPr>
          <w:rFonts w:eastAsia="Hiragino Sans" w:ascii="Hiragino Sans" w:hAnsi="Hiragino Sans"/>
          <w:b w:val="0"/>
          <w:i w:val="0"/>
        </w:rPr>
        <w:t>May 13, 2026</w:t>
      </w:r>
    </w:p>
    <w:p>
      <w:pPr>
        <w:spacing w:after="80"/>
      </w:pPr>
      <w:r>
        <w:rPr>
          <w:rFonts w:eastAsia="Hiragino Sans" w:ascii="Hiragino Sans" w:hAnsi="Hiragino Sans"/>
          <w:b w:val="0"/>
          <w:i w:val="0"/>
        </w:rPr>
        <w:t>To whom it may concern:</w:t>
      </w:r>
    </w:p>
    <w:tbl>
      <w:tblPr>
        <w:tblStyle w:val="TableGrid"/>
        <w:tblW w:type="auto" w:w="0"/>
        <w:jc w:val="center"/>
        <w:tblLayout w:type="autofit"/>
        <w:tblLook w:firstColumn="1" w:firstRow="1" w:lastColumn="0" w:lastRow="0" w:noHBand="0" w:noVBand="1" w:val="04A0"/>
      </w:tblPr>
      <w:tblGrid>
        <w:gridCol w:w="4986"/>
        <w:gridCol w:w="4986"/>
      </w:tblGrid>
      <w:tr>
        <w:tc>
          <w:tcPr>
            <w:tcW w:type="dxa" w:w="4986"/>
            <w:shd w:val="clear" w:fill="24406B"/>
          </w:tcPr>
          <w:p>
            <w:r/>
            <w:r>
              <w:rPr>
                <w:rFonts w:eastAsia="Hiragino Sans" w:ascii="Hiragino Sans" w:hAnsi="Hiragino Sans"/>
                <w:b/>
                <w:color w:val="FFFFFF"/>
                <w:sz w:val="18"/>
              </w:rPr>
              <w:t>Item</w:t>
            </w:r>
          </w:p>
        </w:tc>
        <w:tc>
          <w:tcPr>
            <w:tcW w:type="dxa" w:w="4986"/>
            <w:shd w:val="clear" w:fill="24406B"/>
          </w:tcPr>
          <w:p>
            <w:r/>
            <w:r>
              <w:rPr>
                <w:rFonts w:eastAsia="Hiragino Sans" w:ascii="Hiragino Sans" w:hAnsi="Hiragino Sans"/>
                <w:b/>
                <w:color w:val="FFFFFF"/>
                <w:sz w:val="18"/>
              </w:rPr>
              <w:t>Description</w:t>
            </w:r>
          </w:p>
        </w:tc>
      </w:tr>
      <w:tr>
        <w:tc>
          <w:tcPr>
            <w:tcW w:type="dxa" w:w="4986"/>
          </w:tcPr>
          <w:p>
            <w:r/>
            <w:r>
              <w:rPr>
                <w:rFonts w:eastAsia="Hiragino Sans" w:ascii="Hiragino Sans" w:hAnsi="Hiragino Sans"/>
                <w:b w:val="0"/>
                <w:sz w:val="18"/>
              </w:rPr>
              <w:t>Company name</w:t>
            </w:r>
          </w:p>
        </w:tc>
        <w:tc>
          <w:tcPr>
            <w:tcW w:type="dxa" w:w="4986"/>
          </w:tcPr>
          <w:p>
            <w:r/>
            <w:r>
              <w:rPr>
                <w:rFonts w:eastAsia="Hiragino Sans" w:ascii="Hiragino Sans" w:hAnsi="Hiragino Sans"/>
                <w:b w:val="0"/>
                <w:sz w:val="18"/>
              </w:rPr>
              <w:t>Sample Manufacturing Co., Ltd.</w:t>
            </w:r>
          </w:p>
        </w:tc>
      </w:tr>
      <w:tr>
        <w:tc>
          <w:tcPr>
            <w:tcW w:type="dxa" w:w="4986"/>
            <w:shd w:val="clear" w:fill="F7F8FA"/>
          </w:tcPr>
          <w:p>
            <w:r/>
            <w:r>
              <w:rPr>
                <w:rFonts w:eastAsia="Hiragino Sans" w:ascii="Hiragino Sans" w:hAnsi="Hiragino Sans"/>
                <w:b w:val="0"/>
                <w:sz w:val="18"/>
              </w:rPr>
              <w:t>Name of representative</w:t>
            </w:r>
          </w:p>
        </w:tc>
        <w:tc>
          <w:tcPr>
            <w:tcW w:type="dxa" w:w="4986"/>
            <w:shd w:val="clear" w:fill="F7F8FA"/>
          </w:tcPr>
          <w:p>
            <w:r/>
            <w:r>
              <w:rPr>
                <w:rFonts w:eastAsia="Hiragino Sans" w:ascii="Hiragino Sans" w:hAnsi="Hiragino Sans"/>
                <w:b w:val="0"/>
                <w:sz w:val="18"/>
              </w:rPr>
              <w:t>Seiichiro Fujikawa, President and Representative Director (Securities code: 0000; TSE Prime Market)</w:t>
            </w:r>
          </w:p>
        </w:tc>
      </w:tr>
      <w:tr>
        <w:tc>
          <w:tcPr>
            <w:tcW w:type="dxa" w:w="4986"/>
          </w:tcPr>
          <w:p>
            <w:r/>
            <w:r>
              <w:rPr>
                <w:rFonts w:eastAsia="Hiragino Sans" w:ascii="Hiragino Sans" w:hAnsi="Hiragino Sans"/>
                <w:b w:val="0"/>
                <w:sz w:val="18"/>
              </w:rPr>
              <w:t>Inquiries</w:t>
            </w:r>
          </w:p>
        </w:tc>
        <w:tc>
          <w:tcPr>
            <w:tcW w:type="dxa" w:w="4986"/>
          </w:tcPr>
          <w:p>
            <w:r/>
            <w:r>
              <w:rPr>
                <w:rFonts w:eastAsia="Hiragino Sans" w:ascii="Hiragino Sans" w:hAnsi="Hiragino Sans"/>
                <w:b w:val="0"/>
                <w:sz w:val="18"/>
              </w:rPr>
              <w:t>Misaki Takatsu, Director and Executive Officer, General Manager of Corporate Administration Division (Telephone: +81-266-00-0000)</w:t>
            </w:r>
          </w:p>
        </w:tc>
      </w:tr>
    </w:tbl>
    <w:p>
      <w:pPr>
        <w:spacing w:after="40"/>
      </w:pPr>
    </w:p>
    <w:p>
      <w:pPr>
        <w:spacing w:after="80"/>
      </w:pPr>
      <w:r>
        <w:rPr>
          <w:rFonts w:eastAsia="Hiragino Sans" w:ascii="Hiragino Sans" w:hAnsi="Hiragino Sans"/>
          <w:b/>
          <w:i w:val="0"/>
        </w:rPr>
        <w:t>Notice Concerning Determination of Matters Related to Acquisition of Own Shares</w:t>
      </w:r>
      <w:r>
        <w:rPr>
          <w:rFonts w:eastAsia="Hiragino Sans" w:ascii="Hiragino Sans" w:hAnsi="Hiragino Sans"/>
          <w:b w:val="0"/>
          <w:i w:val="0"/>
        </w:rPr>
        <w:t xml:space="preserve"> (Acquisition of Own Shares Pursuant to the Provisions of Article 156 of the Companies Act, as Applied by Replacing the Relevant Terms Pursuant to the Provisions of Article 165, Paragraph (3) of the Same Act)</w:t>
      </w:r>
    </w:p>
    <w:p>
      <w:pPr>
        <w:spacing w:after="80"/>
      </w:pPr>
      <w:r>
        <w:rPr>
          <w:rFonts w:eastAsia="Hiragino Sans" w:ascii="Hiragino Sans" w:hAnsi="Hiragino Sans"/>
          <w:b w:val="0"/>
          <w:i w:val="0"/>
        </w:rPr>
        <w:t>Sample Manufacturing Co., Ltd. (the "Company") hereby announces that it has resolved, at a meeting of the Board of Directors held on May 13, 2026, the matters concerning the acquisition of own shares pursuant to the provisions of Article 156 of the Companies Act, as applied by replacing the relevant terms pursuant to the provisions of Article 165, Paragraph (3) of the same Act. The details are described below.</w:t>
      </w:r>
    </w:p>
    <w:p>
      <w:pPr>
        <w:pStyle w:val="Heading2"/>
      </w:pPr>
      <w:r>
        <w:t>1. Reason for acquisition of own shares</w:t>
      </w:r>
    </w:p>
    <w:p>
      <w:pPr>
        <w:spacing w:after="80"/>
      </w:pPr>
      <w:r>
        <w:rPr>
          <w:rFonts w:eastAsia="Hiragino Sans" w:ascii="Hiragino Sans" w:hAnsi="Hiragino Sans"/>
          <w:b w:val="0"/>
          <w:i w:val="0"/>
        </w:rPr>
        <w:t>The Company will acquire its own shares in order to improve capital efficiency and enhance shareholder returns, and to implement a flexible capital policy in response to changes in the business environment. The Company plans to use the shares acquired for delivery under its restricted stock compensation plan and other purposes, and does not plan to cancel them for the time being.</w:t>
      </w:r>
    </w:p>
    <w:p>
      <w:pPr>
        <w:pStyle w:val="Heading2"/>
      </w:pPr>
      <w:r>
        <w:t>2. Details of matters related to acquisition</w:t>
      </w:r>
    </w:p>
    <w:tbl>
      <w:tblPr>
        <w:tblStyle w:val="TableGrid"/>
        <w:tblW w:type="auto" w:w="0"/>
        <w:jc w:val="center"/>
        <w:tblLayout w:type="autofit"/>
        <w:tblLook w:firstColumn="1" w:firstRow="1" w:lastColumn="0" w:lastRow="0" w:noHBand="0" w:noVBand="1" w:val="04A0"/>
      </w:tblPr>
      <w:tblGrid>
        <w:gridCol w:w="4986"/>
        <w:gridCol w:w="4986"/>
      </w:tblGrid>
      <w:tr>
        <w:tc>
          <w:tcPr>
            <w:tcW w:type="dxa" w:w="4986"/>
            <w:shd w:val="clear" w:fill="24406B"/>
          </w:tcPr>
          <w:p>
            <w:r/>
            <w:r>
              <w:rPr>
                <w:rFonts w:eastAsia="Hiragino Sans" w:ascii="Hiragino Sans" w:hAnsi="Hiragino Sans"/>
                <w:b/>
                <w:color w:val="FFFFFF"/>
                <w:sz w:val="18"/>
              </w:rPr>
              <w:t>Item</w:t>
            </w:r>
          </w:p>
        </w:tc>
        <w:tc>
          <w:tcPr>
            <w:tcW w:type="dxa" w:w="4986"/>
            <w:shd w:val="clear" w:fill="24406B"/>
          </w:tcPr>
          <w:p>
            <w:r/>
            <w:r>
              <w:rPr>
                <w:rFonts w:eastAsia="Hiragino Sans" w:ascii="Hiragino Sans" w:hAnsi="Hiragino Sans"/>
                <w:b/>
                <w:color w:val="FFFFFF"/>
                <w:sz w:val="18"/>
              </w:rPr>
              <w:t>Description</w:t>
            </w:r>
          </w:p>
        </w:tc>
      </w:tr>
      <w:tr>
        <w:tc>
          <w:tcPr>
            <w:tcW w:type="dxa" w:w="4986"/>
          </w:tcPr>
          <w:p>
            <w:r/>
            <w:r>
              <w:rPr>
                <w:rFonts w:eastAsia="Hiragino Sans" w:ascii="Hiragino Sans" w:hAnsi="Hiragino Sans"/>
                <w:b w:val="0"/>
                <w:sz w:val="18"/>
              </w:rPr>
              <w:t>(1) Class of shares to be acquired</w:t>
            </w:r>
          </w:p>
        </w:tc>
        <w:tc>
          <w:tcPr>
            <w:tcW w:type="dxa" w:w="4986"/>
          </w:tcPr>
          <w:p>
            <w:r/>
            <w:r>
              <w:rPr>
                <w:rFonts w:eastAsia="Hiragino Sans" w:ascii="Hiragino Sans" w:hAnsi="Hiragino Sans"/>
                <w:b w:val="0"/>
                <w:sz w:val="18"/>
              </w:rPr>
              <w:t>Common shares of the Company</w:t>
            </w:r>
          </w:p>
        </w:tc>
      </w:tr>
      <w:tr>
        <w:tc>
          <w:tcPr>
            <w:tcW w:type="dxa" w:w="4986"/>
            <w:shd w:val="clear" w:fill="F7F8FA"/>
          </w:tcPr>
          <w:p>
            <w:r/>
            <w:r>
              <w:rPr>
                <w:rFonts w:eastAsia="Hiragino Sans" w:ascii="Hiragino Sans" w:hAnsi="Hiragino Sans"/>
                <w:b w:val="0"/>
                <w:sz w:val="18"/>
              </w:rPr>
              <w:t>(2) Total number of shares to be acquired</w:t>
            </w:r>
          </w:p>
        </w:tc>
        <w:tc>
          <w:tcPr>
            <w:tcW w:type="dxa" w:w="4986"/>
            <w:shd w:val="clear" w:fill="F7F8FA"/>
          </w:tcPr>
          <w:p>
            <w:r/>
            <w:r>
              <w:rPr>
                <w:rFonts w:eastAsia="Hiragino Sans" w:ascii="Hiragino Sans" w:hAnsi="Hiragino Sans"/>
                <w:b w:val="0"/>
                <w:sz w:val="18"/>
              </w:rPr>
              <w:t>Up to 300,000 shares (1.19% of the total number of issued shares (excluding treasury shares))</w:t>
            </w:r>
          </w:p>
        </w:tc>
      </w:tr>
      <w:tr>
        <w:tc>
          <w:tcPr>
            <w:tcW w:type="dxa" w:w="4986"/>
          </w:tcPr>
          <w:p>
            <w:r/>
            <w:r>
              <w:rPr>
                <w:rFonts w:eastAsia="Hiragino Sans" w:ascii="Hiragino Sans" w:hAnsi="Hiragino Sans"/>
                <w:b w:val="0"/>
                <w:sz w:val="18"/>
              </w:rPr>
              <w:t>(3) Total amount of share acquisition costs</w:t>
            </w:r>
          </w:p>
        </w:tc>
        <w:tc>
          <w:tcPr>
            <w:tcW w:type="dxa" w:w="4986"/>
          </w:tcPr>
          <w:p>
            <w:r/>
            <w:r>
              <w:rPr>
                <w:rFonts w:eastAsia="Hiragino Sans" w:ascii="Hiragino Sans" w:hAnsi="Hiragino Sans"/>
                <w:b w:val="0"/>
                <w:sz w:val="18"/>
              </w:rPr>
              <w:t>Up to ¥500 million</w:t>
            </w:r>
          </w:p>
        </w:tc>
      </w:tr>
      <w:tr>
        <w:tc>
          <w:tcPr>
            <w:tcW w:type="dxa" w:w="4986"/>
            <w:shd w:val="clear" w:fill="F7F8FA"/>
          </w:tcPr>
          <w:p>
            <w:r/>
            <w:r>
              <w:rPr>
                <w:rFonts w:eastAsia="Hiragino Sans" w:ascii="Hiragino Sans" w:hAnsi="Hiragino Sans"/>
                <w:b w:val="0"/>
                <w:sz w:val="18"/>
              </w:rPr>
              <w:t>(4) Acquisition period</w:t>
            </w:r>
          </w:p>
        </w:tc>
        <w:tc>
          <w:tcPr>
            <w:tcW w:type="dxa" w:w="4986"/>
            <w:shd w:val="clear" w:fill="F7F8FA"/>
          </w:tcPr>
          <w:p>
            <w:r/>
            <w:r>
              <w:rPr>
                <w:rFonts w:eastAsia="Hiragino Sans" w:ascii="Hiragino Sans" w:hAnsi="Hiragino Sans"/>
                <w:b w:val="0"/>
                <w:sz w:val="18"/>
              </w:rPr>
              <w:t>From May 14, 2026 to September 30, 2026</w:t>
            </w:r>
          </w:p>
        </w:tc>
      </w:tr>
      <w:tr>
        <w:tc>
          <w:tcPr>
            <w:tcW w:type="dxa" w:w="4986"/>
          </w:tcPr>
          <w:p>
            <w:r/>
            <w:r>
              <w:rPr>
                <w:rFonts w:eastAsia="Hiragino Sans" w:ascii="Hiragino Sans" w:hAnsi="Hiragino Sans"/>
                <w:b w:val="0"/>
                <w:sz w:val="18"/>
              </w:rPr>
              <w:t>(5) Method of acquisition</w:t>
            </w:r>
          </w:p>
        </w:tc>
        <w:tc>
          <w:tcPr>
            <w:tcW w:type="dxa" w:w="4986"/>
          </w:tcPr>
          <w:p>
            <w:r/>
            <w:r>
              <w:rPr>
                <w:rFonts w:eastAsia="Hiragino Sans" w:ascii="Hiragino Sans" w:hAnsi="Hiragino Sans"/>
                <w:b w:val="0"/>
                <w:sz w:val="18"/>
              </w:rPr>
              <w:t>Market purchases on the Tokyo Stock Exchange</w:t>
            </w:r>
          </w:p>
        </w:tc>
      </w:tr>
    </w:tbl>
    <w:p>
      <w:pPr>
        <w:spacing w:after="40"/>
      </w:pPr>
    </w:p>
    <w:p>
      <w:pPr>
        <w:spacing w:after="80"/>
      </w:pPr>
      <w:r>
        <w:rPr>
          <w:rFonts w:eastAsia="Hiragino Sans" w:ascii="Hiragino Sans" w:hAnsi="Hiragino Sans"/>
          <w:b w:val="0"/>
          <w:i w:val="0"/>
        </w:rPr>
        <w:t>(Reference) Holding status of treasury shares as of March 31, 2026</w:t>
      </w:r>
    </w:p>
    <w:tbl>
      <w:tblPr>
        <w:tblStyle w:val="TableGrid"/>
        <w:tblW w:type="auto" w:w="0"/>
        <w:jc w:val="center"/>
        <w:tblLayout w:type="autofit"/>
        <w:tblLook w:firstColumn="1" w:firstRow="1" w:lastColumn="0" w:lastRow="0" w:noHBand="0" w:noVBand="1" w:val="04A0"/>
      </w:tblPr>
      <w:tblGrid>
        <w:gridCol w:w="4986"/>
        <w:gridCol w:w="4986"/>
      </w:tblGrid>
      <w:tr>
        <w:tc>
          <w:tcPr>
            <w:tcW w:type="dxa" w:w="4986"/>
            <w:shd w:val="clear" w:fill="24406B"/>
          </w:tcPr>
          <w:p>
            <w:r/>
            <w:r>
              <w:rPr>
                <w:rFonts w:eastAsia="Hiragino Sans" w:ascii="Hiragino Sans" w:hAnsi="Hiragino Sans"/>
                <w:b/>
                <w:color w:val="FFFFFF"/>
                <w:sz w:val="18"/>
              </w:rPr>
              <w:t>Item</w:t>
            </w:r>
          </w:p>
        </w:tc>
        <w:tc>
          <w:tcPr>
            <w:tcW w:type="dxa" w:w="4986"/>
            <w:shd w:val="clear" w:fill="24406B"/>
          </w:tcPr>
          <w:p>
            <w:r/>
            <w:r>
              <w:rPr>
                <w:rFonts w:eastAsia="Hiragino Sans" w:ascii="Hiragino Sans" w:hAnsi="Hiragino Sans"/>
                <w:b/>
                <w:color w:val="FFFFFF"/>
                <w:sz w:val="18"/>
              </w:rPr>
              <w:t>Number of shares</w:t>
            </w:r>
          </w:p>
        </w:tc>
      </w:tr>
      <w:tr>
        <w:tc>
          <w:tcPr>
            <w:tcW w:type="dxa" w:w="4986"/>
          </w:tcPr>
          <w:p>
            <w:r/>
            <w:r>
              <w:rPr>
                <w:rFonts w:eastAsia="Hiragino Sans" w:ascii="Hiragino Sans" w:hAnsi="Hiragino Sans"/>
                <w:b w:val="0"/>
                <w:sz w:val="18"/>
              </w:rPr>
              <w:t>Total number of issued shares (excluding treasury shares)</w:t>
            </w:r>
          </w:p>
        </w:tc>
        <w:tc>
          <w:tcPr>
            <w:tcW w:type="dxa" w:w="4986"/>
          </w:tcPr>
          <w:p>
            <w:r/>
            <w:r>
              <w:rPr>
                <w:rFonts w:eastAsia="Hiragino Sans" w:ascii="Hiragino Sans" w:hAnsi="Hiragino Sans"/>
                <w:b w:val="0"/>
                <w:sz w:val="18"/>
              </w:rPr>
              <w:t>25,185,000 shares</w:t>
            </w:r>
          </w:p>
        </w:tc>
      </w:tr>
      <w:tr>
        <w:tc>
          <w:tcPr>
            <w:tcW w:type="dxa" w:w="4986"/>
            <w:shd w:val="clear" w:fill="F7F8FA"/>
          </w:tcPr>
          <w:p>
            <w:r/>
            <w:r>
              <w:rPr>
                <w:rFonts w:eastAsia="Hiragino Sans" w:ascii="Hiragino Sans" w:hAnsi="Hiragino Sans"/>
                <w:b w:val="0"/>
                <w:sz w:val="18"/>
              </w:rPr>
              <w:t>Number of treasury shares</w:t>
            </w:r>
          </w:p>
        </w:tc>
        <w:tc>
          <w:tcPr>
            <w:tcW w:type="dxa" w:w="4986"/>
            <w:shd w:val="clear" w:fill="F7F8FA"/>
          </w:tcPr>
          <w:p>
            <w:r/>
            <w:r>
              <w:rPr>
                <w:rFonts w:eastAsia="Hiragino Sans" w:ascii="Hiragino Sans" w:hAnsi="Hiragino Sans"/>
                <w:b w:val="0"/>
                <w:sz w:val="18"/>
              </w:rPr>
              <w:t>815,000 shares</w:t>
            </w:r>
          </w:p>
        </w:tc>
      </w:tr>
    </w:tbl>
    <w:p>
      <w:pPr>
        <w:spacing w:after="40"/>
      </w:pPr>
    </w:p>
    <w:p>
      <w:pPr>
        <w:pStyle w:val="ListBullet"/>
        <w:ind w:left="240"/>
      </w:pPr>
      <w:r>
        <w:rPr>
          <w:rFonts w:eastAsia="Hiragino Sans" w:ascii="Hiragino Sans" w:hAnsi="Hiragino Sans"/>
          <w:b w:val="0"/>
          <w:sz w:val="20"/>
        </w:rPr>
        <w:t>(Note) Under its Articles of Incorporation, the Company may acquire its own shares through market transactions or a tender offer by resolution of the Board of Directors pursuant to Article 165, Paragraph (2) of the Companies Act. The status of acquisitions will be reported monthly in a Share Buyback Report (report on the status of purchases of own shares; Article 24-6, Paragraph (1) of the Financial Instruments and Exchange Act) to be filed with the Director-General of the Kanto Local Finance Bureau by the 15th of the following month, and the results will be disclosed after the end of the acquisition period in a "Notice Concerning Results of Acquisition of Own Shares."</w:t>
      </w:r>
    </w:p>
    <w:p>
      <w:pPr>
        <w:ind w:left="120"/>
        <w:shd w:val="clear" w:fill="F3F4F6"/>
        <w:pBdr>
          <w:left w:val="single" w:sz="18" w:space="6" w:color="24406B"/>
        </w:pBdr>
      </w:pPr>
      <w:r>
        <w:rPr>
          <w:rFonts w:eastAsia="Hiragino Sans" w:ascii="Hiragino Sans" w:hAnsi="Hiragino Sans"/>
          <w:b w:val="0"/>
          <w:i/>
          <w:color w:val="444444"/>
          <w:sz w:val="18"/>
        </w:rPr>
        <w:t>This document has been translated from the Japanese original for reference purposes only. In the event of any discrepancy between this translated document and the Japanese original, the original shall prevail.</w:t>
      </w:r>
    </w:p>
    <w:p>
      <w:pPr>
        <w:ind w:left="120"/>
        <w:shd w:val="clear" w:fill="F3F4F6"/>
        <w:pBdr>
          <w:left w:val="single" w:sz="18" w:space="6" w:color="24406B"/>
        </w:pBdr>
      </w:pPr>
      <w:r>
        <w:rPr>
          <w:rFonts w:eastAsia="Hiragino Sans" w:ascii="Hiragino Sans" w:hAnsi="Hiragino Sans"/>
          <w:b w:val="0"/>
          <w:i/>
          <w:color w:val="444444"/>
          <w:sz w:val="18"/>
        </w:rPr>
        <w:t>チェック観点（日本語）: 表題の括弧書きは日本語原本（第165条第3項により読み替えて適用される第156条）の訳とし、本文の定型文（as applied by replacing the relevant terms pursuant to ... Article 165, paragraph (3) of the same Act. The details are described below.）は東証様式例の文言。東証様式例の表題括弧書きは「（会社法第165条第2項の規定による定款の定めに基づく自己株式の取得）」であり、日本語原本の表題を東証標準に揃える場合は英文も併せて直す。上限株数・上限金額・取得期間・割合（1.19%＝300,000÷25,185,000）・3月31日現在の保有状況は日本語版と同一。自己株券買付状況報告書の英訳は EDINET の公式英名 "Share Buyback Report" を主とし、説明訳（report on the status of purchases of own shares）を併記する。取得期間終了後の「自己株式の取得結果に関するお知らせ」（Notice Concerning Results of Acquisition of Own Shares）の予告も原本どおり訳出する。</w:t>
      </w:r>
    </w:p>
    <w:p>
      <w:pPr>
        <w:jc w:val="center"/>
      </w:pPr>
      <w:r>
        <w:t>────────────────────────────────────────</w:t>
      </w:r>
    </w:p>
    <w:p>
      <w:pPr>
        <w:pStyle w:val="Heading1"/>
      </w:pPr>
      <w:r>
        <w:t>Part 3 — Notice Concerning Dividends of Surplus (Year-End Dividend)</w:t>
      </w:r>
    </w:p>
    <w:p>
      <w:pPr>
        <w:spacing w:after="80"/>
      </w:pPr>
      <w:r>
        <w:rPr>
          <w:rFonts w:eastAsia="Hiragino Sans" w:ascii="Hiragino Sans" w:hAnsi="Hiragino Sans"/>
          <w:b w:val="0"/>
          <w:i w:val="0"/>
        </w:rPr>
        <w:t>May 13, 2026</w:t>
      </w:r>
    </w:p>
    <w:p>
      <w:pPr>
        <w:spacing w:after="80"/>
      </w:pPr>
      <w:r>
        <w:rPr>
          <w:rFonts w:eastAsia="Hiragino Sans" w:ascii="Hiragino Sans" w:hAnsi="Hiragino Sans"/>
          <w:b w:val="0"/>
          <w:i w:val="0"/>
        </w:rPr>
        <w:t>To whom it may concern:</w:t>
      </w:r>
    </w:p>
    <w:tbl>
      <w:tblPr>
        <w:tblStyle w:val="TableGrid"/>
        <w:tblW w:type="auto" w:w="0"/>
        <w:jc w:val="center"/>
        <w:tblLayout w:type="autofit"/>
        <w:tblLook w:firstColumn="1" w:firstRow="1" w:lastColumn="0" w:lastRow="0" w:noHBand="0" w:noVBand="1" w:val="04A0"/>
      </w:tblPr>
      <w:tblGrid>
        <w:gridCol w:w="4986"/>
        <w:gridCol w:w="4986"/>
      </w:tblGrid>
      <w:tr>
        <w:tc>
          <w:tcPr>
            <w:tcW w:type="dxa" w:w="4986"/>
            <w:shd w:val="clear" w:fill="24406B"/>
          </w:tcPr>
          <w:p>
            <w:r/>
            <w:r>
              <w:rPr>
                <w:rFonts w:eastAsia="Hiragino Sans" w:ascii="Hiragino Sans" w:hAnsi="Hiragino Sans"/>
                <w:b/>
                <w:color w:val="FFFFFF"/>
                <w:sz w:val="18"/>
              </w:rPr>
              <w:t>Item</w:t>
            </w:r>
          </w:p>
        </w:tc>
        <w:tc>
          <w:tcPr>
            <w:tcW w:type="dxa" w:w="4986"/>
            <w:shd w:val="clear" w:fill="24406B"/>
          </w:tcPr>
          <w:p>
            <w:r/>
            <w:r>
              <w:rPr>
                <w:rFonts w:eastAsia="Hiragino Sans" w:ascii="Hiragino Sans" w:hAnsi="Hiragino Sans"/>
                <w:b/>
                <w:color w:val="FFFFFF"/>
                <w:sz w:val="18"/>
              </w:rPr>
              <w:t>Description</w:t>
            </w:r>
          </w:p>
        </w:tc>
      </w:tr>
      <w:tr>
        <w:tc>
          <w:tcPr>
            <w:tcW w:type="dxa" w:w="4986"/>
          </w:tcPr>
          <w:p>
            <w:r/>
            <w:r>
              <w:rPr>
                <w:rFonts w:eastAsia="Hiragino Sans" w:ascii="Hiragino Sans" w:hAnsi="Hiragino Sans"/>
                <w:b w:val="0"/>
                <w:sz w:val="18"/>
              </w:rPr>
              <w:t>Company name</w:t>
            </w:r>
          </w:p>
        </w:tc>
        <w:tc>
          <w:tcPr>
            <w:tcW w:type="dxa" w:w="4986"/>
          </w:tcPr>
          <w:p>
            <w:r/>
            <w:r>
              <w:rPr>
                <w:rFonts w:eastAsia="Hiragino Sans" w:ascii="Hiragino Sans" w:hAnsi="Hiragino Sans"/>
                <w:b w:val="0"/>
                <w:sz w:val="18"/>
              </w:rPr>
              <w:t>Sample Manufacturing Co., Ltd.</w:t>
            </w:r>
          </w:p>
        </w:tc>
      </w:tr>
      <w:tr>
        <w:tc>
          <w:tcPr>
            <w:tcW w:type="dxa" w:w="4986"/>
            <w:shd w:val="clear" w:fill="F7F8FA"/>
          </w:tcPr>
          <w:p>
            <w:r/>
            <w:r>
              <w:rPr>
                <w:rFonts w:eastAsia="Hiragino Sans" w:ascii="Hiragino Sans" w:hAnsi="Hiragino Sans"/>
                <w:b w:val="0"/>
                <w:sz w:val="18"/>
              </w:rPr>
              <w:t>Name of representative</w:t>
            </w:r>
          </w:p>
        </w:tc>
        <w:tc>
          <w:tcPr>
            <w:tcW w:type="dxa" w:w="4986"/>
            <w:shd w:val="clear" w:fill="F7F8FA"/>
          </w:tcPr>
          <w:p>
            <w:r/>
            <w:r>
              <w:rPr>
                <w:rFonts w:eastAsia="Hiragino Sans" w:ascii="Hiragino Sans" w:hAnsi="Hiragino Sans"/>
                <w:b w:val="0"/>
                <w:sz w:val="18"/>
              </w:rPr>
              <w:t>Seiichiro Fujikawa, President and Representative Director (Securities code: 0000; TSE Prime Market)</w:t>
            </w:r>
          </w:p>
        </w:tc>
      </w:tr>
      <w:tr>
        <w:tc>
          <w:tcPr>
            <w:tcW w:type="dxa" w:w="4986"/>
          </w:tcPr>
          <w:p>
            <w:r/>
            <w:r>
              <w:rPr>
                <w:rFonts w:eastAsia="Hiragino Sans" w:ascii="Hiragino Sans" w:hAnsi="Hiragino Sans"/>
                <w:b w:val="0"/>
                <w:sz w:val="18"/>
              </w:rPr>
              <w:t>Inquiries</w:t>
            </w:r>
          </w:p>
        </w:tc>
        <w:tc>
          <w:tcPr>
            <w:tcW w:type="dxa" w:w="4986"/>
          </w:tcPr>
          <w:p>
            <w:r/>
            <w:r>
              <w:rPr>
                <w:rFonts w:eastAsia="Hiragino Sans" w:ascii="Hiragino Sans" w:hAnsi="Hiragino Sans"/>
                <w:b w:val="0"/>
                <w:sz w:val="18"/>
              </w:rPr>
              <w:t>Misaki Takatsu, Director and Executive Officer, General Manager of Corporate Administration Division (Telephone: +81-266-00-0000)</w:t>
            </w:r>
          </w:p>
        </w:tc>
      </w:tr>
    </w:tbl>
    <w:p>
      <w:pPr>
        <w:spacing w:after="40"/>
      </w:pPr>
    </w:p>
    <w:p>
      <w:pPr>
        <w:spacing w:after="80"/>
      </w:pPr>
      <w:r>
        <w:rPr>
          <w:rFonts w:eastAsia="Hiragino Sans" w:ascii="Hiragino Sans" w:hAnsi="Hiragino Sans"/>
          <w:b/>
          <w:i w:val="0"/>
        </w:rPr>
        <w:t>Notice Concerning Dividends of Surplus (Year-End Dividend)</w:t>
      </w:r>
    </w:p>
    <w:p>
      <w:pPr>
        <w:spacing w:after="80"/>
      </w:pPr>
      <w:r>
        <w:rPr>
          <w:rFonts w:eastAsia="Hiragino Sans" w:ascii="Hiragino Sans" w:hAnsi="Hiragino Sans"/>
          <w:b w:val="0"/>
          <w:i w:val="0"/>
        </w:rPr>
        <w:t>Sample Manufacturing Co., Ltd. (the "Company") hereby announces that it has resolved, at a meeting of the Board of Directors held on May 13, 2026, to submit a proposal regarding dividends of surplus (year-end dividend) with a record date of March 31, 2026 to the 28th Annual General Meeting of Shareholders scheduled to be held on June 24, 2026, as described below.</w:t>
      </w:r>
    </w:p>
    <w:p>
      <w:pPr>
        <w:pStyle w:val="Heading2"/>
      </w:pPr>
      <w:r>
        <w:t>1. Details of dividend</w:t>
      </w:r>
    </w:p>
    <w:tbl>
      <w:tblPr>
        <w:tblStyle w:val="TableGrid"/>
        <w:tblW w:type="auto" w:w="0"/>
        <w:jc w:val="center"/>
        <w:tblLayout w:type="autofit"/>
        <w:tblLook w:firstColumn="1" w:firstRow="1" w:lastColumn="0" w:lastRow="0" w:noHBand="0" w:noVBand="1" w:val="04A0"/>
      </w:tblPr>
      <w:tblGrid>
        <w:gridCol w:w="2493"/>
        <w:gridCol w:w="2493"/>
        <w:gridCol w:w="2493"/>
        <w:gridCol w:w="2493"/>
      </w:tblGrid>
      <w:tr>
        <w:tc>
          <w:tcPr>
            <w:tcW w:type="dxa" w:w="2493"/>
            <w:shd w:val="clear" w:fill="24406B"/>
          </w:tcPr>
          <w:p>
            <w:r/>
            <w:r>
              <w:rPr>
                <w:rFonts w:eastAsia="Hiragino Sans" w:ascii="Hiragino Sans" w:hAnsi="Hiragino Sans"/>
                <w:b/>
                <w:color w:val="FFFFFF"/>
                <w:sz w:val="18"/>
              </w:rPr>
              <w:t>Item</w:t>
            </w:r>
          </w:p>
        </w:tc>
        <w:tc>
          <w:tcPr>
            <w:tcW w:type="dxa" w:w="2493"/>
            <w:shd w:val="clear" w:fill="24406B"/>
          </w:tcPr>
          <w:p>
            <w:r/>
            <w:r>
              <w:rPr>
                <w:rFonts w:eastAsia="Hiragino Sans" w:ascii="Hiragino Sans" w:hAnsi="Hiragino Sans"/>
                <w:b/>
                <w:color w:val="FFFFFF"/>
                <w:sz w:val="18"/>
              </w:rPr>
              <w:t>Determined amount</w:t>
            </w:r>
          </w:p>
        </w:tc>
        <w:tc>
          <w:tcPr>
            <w:tcW w:type="dxa" w:w="2493"/>
            <w:shd w:val="clear" w:fill="24406B"/>
          </w:tcPr>
          <w:p>
            <w:r/>
            <w:r>
              <w:rPr>
                <w:rFonts w:eastAsia="Hiragino Sans" w:ascii="Hiragino Sans" w:hAnsi="Hiragino Sans"/>
                <w:b/>
                <w:color w:val="FFFFFF"/>
                <w:sz w:val="18"/>
              </w:rPr>
              <w:t>Most recent dividend forecast (Announced on November 10, 2025)</w:t>
            </w:r>
          </w:p>
        </w:tc>
        <w:tc>
          <w:tcPr>
            <w:tcW w:type="dxa" w:w="2493"/>
            <w:shd w:val="clear" w:fill="24406B"/>
          </w:tcPr>
          <w:p>
            <w:r/>
            <w:r>
              <w:rPr>
                <w:rFonts w:eastAsia="Hiragino Sans" w:ascii="Hiragino Sans" w:hAnsi="Hiragino Sans"/>
                <w:b/>
                <w:color w:val="FFFFFF"/>
                <w:sz w:val="18"/>
              </w:rPr>
              <w:t>Actual results for the previous fiscal year (Fiscal year ended March 31, 2025)</w:t>
            </w:r>
          </w:p>
        </w:tc>
      </w:tr>
      <w:tr>
        <w:tc>
          <w:tcPr>
            <w:tcW w:type="dxa" w:w="2493"/>
          </w:tcPr>
          <w:p>
            <w:r/>
            <w:r>
              <w:rPr>
                <w:rFonts w:eastAsia="Hiragino Sans" w:ascii="Hiragino Sans" w:hAnsi="Hiragino Sans"/>
                <w:b w:val="0"/>
                <w:sz w:val="18"/>
              </w:rPr>
              <w:t>Record date</w:t>
            </w:r>
          </w:p>
        </w:tc>
        <w:tc>
          <w:tcPr>
            <w:tcW w:type="dxa" w:w="2493"/>
          </w:tcPr>
          <w:p>
            <w:r/>
            <w:r>
              <w:rPr>
                <w:rFonts w:eastAsia="Hiragino Sans" w:ascii="Hiragino Sans" w:hAnsi="Hiragino Sans"/>
                <w:b w:val="0"/>
                <w:sz w:val="18"/>
              </w:rPr>
              <w:t>March 31, 2026</w:t>
            </w:r>
          </w:p>
        </w:tc>
        <w:tc>
          <w:tcPr>
            <w:tcW w:type="dxa" w:w="2493"/>
          </w:tcPr>
          <w:p>
            <w:r/>
            <w:r>
              <w:rPr>
                <w:rFonts w:eastAsia="Hiragino Sans" w:ascii="Hiragino Sans" w:hAnsi="Hiragino Sans"/>
                <w:b w:val="0"/>
                <w:sz w:val="18"/>
              </w:rPr>
              <w:t>March 31, 2026</w:t>
            </w:r>
          </w:p>
        </w:tc>
        <w:tc>
          <w:tcPr>
            <w:tcW w:type="dxa" w:w="2493"/>
          </w:tcPr>
          <w:p>
            <w:r/>
            <w:r>
              <w:rPr>
                <w:rFonts w:eastAsia="Hiragino Sans" w:ascii="Hiragino Sans" w:hAnsi="Hiragino Sans"/>
                <w:b w:val="0"/>
                <w:sz w:val="18"/>
              </w:rPr>
              <w:t>March 31, 2025</w:t>
            </w:r>
          </w:p>
        </w:tc>
      </w:tr>
      <w:tr>
        <w:tc>
          <w:tcPr>
            <w:tcW w:type="dxa" w:w="2493"/>
            <w:shd w:val="clear" w:fill="F7F8FA"/>
          </w:tcPr>
          <w:p>
            <w:r/>
            <w:r>
              <w:rPr>
                <w:rFonts w:eastAsia="Hiragino Sans" w:ascii="Hiragino Sans" w:hAnsi="Hiragino Sans"/>
                <w:b w:val="0"/>
                <w:sz w:val="18"/>
              </w:rPr>
              <w:t>Dividend per share</w:t>
            </w:r>
          </w:p>
        </w:tc>
        <w:tc>
          <w:tcPr>
            <w:tcW w:type="dxa" w:w="2493"/>
            <w:shd w:val="clear" w:fill="F7F8FA"/>
          </w:tcPr>
          <w:p>
            <w:r/>
            <w:r>
              <w:rPr>
                <w:rFonts w:eastAsia="Hiragino Sans" w:ascii="Hiragino Sans" w:hAnsi="Hiragino Sans"/>
                <w:b w:val="0"/>
                <w:sz w:val="18"/>
              </w:rPr>
              <w:t>¥17.00</w:t>
            </w:r>
          </w:p>
        </w:tc>
        <w:tc>
          <w:tcPr>
            <w:tcW w:type="dxa" w:w="2493"/>
            <w:shd w:val="clear" w:fill="F7F8FA"/>
          </w:tcPr>
          <w:p>
            <w:r/>
            <w:r>
              <w:rPr>
                <w:rFonts w:eastAsia="Hiragino Sans" w:ascii="Hiragino Sans" w:hAnsi="Hiragino Sans"/>
                <w:b w:val="0"/>
                <w:sz w:val="18"/>
              </w:rPr>
              <w:t>¥17.00</w:t>
            </w:r>
          </w:p>
        </w:tc>
        <w:tc>
          <w:tcPr>
            <w:tcW w:type="dxa" w:w="2493"/>
            <w:shd w:val="clear" w:fill="F7F8FA"/>
          </w:tcPr>
          <w:p>
            <w:r/>
            <w:r>
              <w:rPr>
                <w:rFonts w:eastAsia="Hiragino Sans" w:ascii="Hiragino Sans" w:hAnsi="Hiragino Sans"/>
                <w:b w:val="0"/>
                <w:sz w:val="18"/>
              </w:rPr>
              <w:t>¥16.00</w:t>
            </w:r>
          </w:p>
        </w:tc>
      </w:tr>
      <w:tr>
        <w:tc>
          <w:tcPr>
            <w:tcW w:type="dxa" w:w="2493"/>
          </w:tcPr>
          <w:p>
            <w:r/>
            <w:r>
              <w:rPr>
                <w:rFonts w:eastAsia="Hiragino Sans" w:ascii="Hiragino Sans" w:hAnsi="Hiragino Sans"/>
                <w:b w:val="0"/>
                <w:sz w:val="18"/>
              </w:rPr>
              <w:t>Total amount of dividends</w:t>
            </w:r>
          </w:p>
        </w:tc>
        <w:tc>
          <w:tcPr>
            <w:tcW w:type="dxa" w:w="2493"/>
          </w:tcPr>
          <w:p>
            <w:r/>
            <w:r>
              <w:rPr>
                <w:rFonts w:eastAsia="Hiragino Sans" w:ascii="Hiragino Sans" w:hAnsi="Hiragino Sans"/>
                <w:b w:val="0"/>
                <w:sz w:val="18"/>
              </w:rPr>
              <w:t>¥428 million</w:t>
            </w:r>
          </w:p>
        </w:tc>
        <w:tc>
          <w:tcPr>
            <w:tcW w:type="dxa" w:w="2493"/>
          </w:tcPr>
          <w:p>
            <w:r/>
            <w:r>
              <w:rPr>
                <w:rFonts w:eastAsia="Hiragino Sans" w:ascii="Hiragino Sans" w:hAnsi="Hiragino Sans"/>
                <w:b w:val="0"/>
                <w:sz w:val="18"/>
              </w:rPr>
              <w:t>–</w:t>
            </w:r>
          </w:p>
        </w:tc>
        <w:tc>
          <w:tcPr>
            <w:tcW w:type="dxa" w:w="2493"/>
          </w:tcPr>
          <w:p>
            <w:r/>
            <w:r>
              <w:rPr>
                <w:rFonts w:eastAsia="Hiragino Sans" w:ascii="Hiragino Sans" w:hAnsi="Hiragino Sans"/>
                <w:b w:val="0"/>
                <w:sz w:val="18"/>
              </w:rPr>
              <w:t>¥403 million</w:t>
            </w:r>
          </w:p>
        </w:tc>
      </w:tr>
      <w:tr>
        <w:tc>
          <w:tcPr>
            <w:tcW w:type="dxa" w:w="2493"/>
            <w:shd w:val="clear" w:fill="F7F8FA"/>
          </w:tcPr>
          <w:p>
            <w:r/>
            <w:r>
              <w:rPr>
                <w:rFonts w:eastAsia="Hiragino Sans" w:ascii="Hiragino Sans" w:hAnsi="Hiragino Sans"/>
                <w:b w:val="0"/>
                <w:sz w:val="18"/>
              </w:rPr>
              <w:t>Effective date</w:t>
            </w:r>
          </w:p>
        </w:tc>
        <w:tc>
          <w:tcPr>
            <w:tcW w:type="dxa" w:w="2493"/>
            <w:shd w:val="clear" w:fill="F7F8FA"/>
          </w:tcPr>
          <w:p>
            <w:r/>
            <w:r>
              <w:rPr>
                <w:rFonts w:eastAsia="Hiragino Sans" w:ascii="Hiragino Sans" w:hAnsi="Hiragino Sans"/>
                <w:b w:val="0"/>
                <w:sz w:val="18"/>
              </w:rPr>
              <w:t>June 25, 2026</w:t>
            </w:r>
          </w:p>
        </w:tc>
        <w:tc>
          <w:tcPr>
            <w:tcW w:type="dxa" w:w="2493"/>
            <w:shd w:val="clear" w:fill="F7F8FA"/>
          </w:tcPr>
          <w:p>
            <w:r/>
            <w:r>
              <w:rPr>
                <w:rFonts w:eastAsia="Hiragino Sans" w:ascii="Hiragino Sans" w:hAnsi="Hiragino Sans"/>
                <w:b w:val="0"/>
                <w:sz w:val="18"/>
              </w:rPr>
              <w:t>–</w:t>
            </w:r>
          </w:p>
        </w:tc>
        <w:tc>
          <w:tcPr>
            <w:tcW w:type="dxa" w:w="2493"/>
            <w:shd w:val="clear" w:fill="F7F8FA"/>
          </w:tcPr>
          <w:p>
            <w:r/>
            <w:r>
              <w:rPr>
                <w:rFonts w:eastAsia="Hiragino Sans" w:ascii="Hiragino Sans" w:hAnsi="Hiragino Sans"/>
                <w:b w:val="0"/>
                <w:sz w:val="18"/>
              </w:rPr>
              <w:t>June 25, 2025</w:t>
            </w:r>
          </w:p>
        </w:tc>
      </w:tr>
      <w:tr>
        <w:tc>
          <w:tcPr>
            <w:tcW w:type="dxa" w:w="2493"/>
          </w:tcPr>
          <w:p>
            <w:r/>
            <w:r>
              <w:rPr>
                <w:rFonts w:eastAsia="Hiragino Sans" w:ascii="Hiragino Sans" w:hAnsi="Hiragino Sans"/>
                <w:b w:val="0"/>
                <w:sz w:val="18"/>
              </w:rPr>
              <w:t>Source of dividends</w:t>
            </w:r>
          </w:p>
        </w:tc>
        <w:tc>
          <w:tcPr>
            <w:tcW w:type="dxa" w:w="2493"/>
          </w:tcPr>
          <w:p>
            <w:r/>
            <w:r>
              <w:rPr>
                <w:rFonts w:eastAsia="Hiragino Sans" w:ascii="Hiragino Sans" w:hAnsi="Hiragino Sans"/>
                <w:b w:val="0"/>
                <w:sz w:val="18"/>
              </w:rPr>
              <w:t>Retained earnings</w:t>
            </w:r>
          </w:p>
        </w:tc>
        <w:tc>
          <w:tcPr>
            <w:tcW w:type="dxa" w:w="2493"/>
          </w:tcPr>
          <w:p>
            <w:r/>
            <w:r>
              <w:rPr>
                <w:rFonts w:eastAsia="Hiragino Sans" w:ascii="Hiragino Sans" w:hAnsi="Hiragino Sans"/>
                <w:b w:val="0"/>
                <w:sz w:val="18"/>
              </w:rPr>
              <w:t>–</w:t>
            </w:r>
          </w:p>
        </w:tc>
        <w:tc>
          <w:tcPr>
            <w:tcW w:type="dxa" w:w="2493"/>
          </w:tcPr>
          <w:p>
            <w:r/>
            <w:r>
              <w:rPr>
                <w:rFonts w:eastAsia="Hiragino Sans" w:ascii="Hiragino Sans" w:hAnsi="Hiragino Sans"/>
                <w:b w:val="0"/>
                <w:sz w:val="18"/>
              </w:rPr>
              <w:t>Retained earnings</w:t>
            </w:r>
          </w:p>
        </w:tc>
      </w:tr>
    </w:tbl>
    <w:p>
      <w:pPr>
        <w:spacing w:after="40"/>
      </w:pPr>
    </w:p>
    <w:p>
      <w:pPr>
        <w:pStyle w:val="Heading2"/>
      </w:pPr>
      <w:r>
        <w:t>2. Reason</w:t>
      </w:r>
    </w:p>
    <w:p>
      <w:pPr>
        <w:spacing w:after="80"/>
      </w:pPr>
      <w:r>
        <w:rPr>
          <w:rFonts w:eastAsia="Hiragino Sans" w:ascii="Hiragino Sans" w:hAnsi="Hiragino Sans"/>
          <w:b w:val="0"/>
          <w:i w:val="0"/>
        </w:rPr>
        <w:t>The Company regards the return of profits to shareholders as an important management priority, and its basic policy is to pay stable and continuous dividends in line with business results, targeting a consolidated dividend payout ratio of 30% or higher. In light of this policy and the results for the fiscal year under review (profit attributable to owners of parent of ¥2,720 million), the Company has decided to propose a year-end dividend of ¥17 per share. Together with the interim dividend of ¥17 per share paid in December 2025, the annual dividend for the fiscal year will be ¥34 per share (consolidated dividend payout ratio of 31.5%).</w:t>
      </w:r>
    </w:p>
    <w:p>
      <w:pPr>
        <w:spacing w:after="80"/>
      </w:pPr>
      <w:r>
        <w:rPr>
          <w:rFonts w:eastAsia="Hiragino Sans" w:ascii="Hiragino Sans" w:hAnsi="Hiragino Sans"/>
          <w:b w:val="0"/>
          <w:i w:val="0"/>
        </w:rPr>
        <w:t>(Reference) Breakdown of annual dividends</w:t>
      </w:r>
    </w:p>
    <w:tbl>
      <w:tblPr>
        <w:tblStyle w:val="TableGrid"/>
        <w:tblW w:type="auto" w:w="0"/>
        <w:jc w:val="center"/>
        <w:tblLayout w:type="autofit"/>
        <w:tblLook w:firstColumn="1" w:firstRow="1" w:lastColumn="0" w:lastRow="0" w:noHBand="0" w:noVBand="1" w:val="04A0"/>
      </w:tblPr>
      <w:tblGrid>
        <w:gridCol w:w="2493"/>
        <w:gridCol w:w="2493"/>
        <w:gridCol w:w="2493"/>
        <w:gridCol w:w="2493"/>
      </w:tblGrid>
      <w:tr>
        <w:tc>
          <w:tcPr>
            <w:tcW w:type="dxa" w:w="2493"/>
            <w:shd w:val="clear" w:fill="24406B"/>
          </w:tcPr>
          <w:p>
            <w:r/>
            <w:r>
              <w:rPr>
                <w:rFonts w:eastAsia="Hiragino Sans" w:ascii="Hiragino Sans" w:hAnsi="Hiragino Sans"/>
                <w:b/>
                <w:color w:val="FFFFFF"/>
                <w:sz w:val="18"/>
              </w:rPr>
              <w:t>Fiscal year</w:t>
            </w:r>
          </w:p>
        </w:tc>
        <w:tc>
          <w:tcPr>
            <w:tcW w:type="dxa" w:w="2493"/>
            <w:shd w:val="clear" w:fill="24406B"/>
          </w:tcPr>
          <w:p>
            <w:r/>
            <w:r>
              <w:rPr>
                <w:rFonts w:eastAsia="Hiragino Sans" w:ascii="Hiragino Sans" w:hAnsi="Hiragino Sans"/>
                <w:b/>
                <w:color w:val="FFFFFF"/>
                <w:sz w:val="18"/>
              </w:rPr>
              <w:t>Second quarter-end (Yen)</w:t>
            </w:r>
          </w:p>
        </w:tc>
        <w:tc>
          <w:tcPr>
            <w:tcW w:type="dxa" w:w="2493"/>
            <w:shd w:val="clear" w:fill="24406B"/>
          </w:tcPr>
          <w:p>
            <w:r/>
            <w:r>
              <w:rPr>
                <w:rFonts w:eastAsia="Hiragino Sans" w:ascii="Hiragino Sans" w:hAnsi="Hiragino Sans"/>
                <w:b/>
                <w:color w:val="FFFFFF"/>
                <w:sz w:val="18"/>
              </w:rPr>
              <w:t>Fiscal-year end (Yen)</w:t>
            </w:r>
          </w:p>
        </w:tc>
        <w:tc>
          <w:tcPr>
            <w:tcW w:type="dxa" w:w="2493"/>
            <w:shd w:val="clear" w:fill="24406B"/>
          </w:tcPr>
          <w:p>
            <w:r/>
            <w:r>
              <w:rPr>
                <w:rFonts w:eastAsia="Hiragino Sans" w:ascii="Hiragino Sans" w:hAnsi="Hiragino Sans"/>
                <w:b/>
                <w:color w:val="FFFFFF"/>
                <w:sz w:val="18"/>
              </w:rPr>
              <w:t>Total (Yen)</w:t>
            </w:r>
          </w:p>
        </w:tc>
      </w:tr>
      <w:tr>
        <w:tc>
          <w:tcPr>
            <w:tcW w:type="dxa" w:w="2493"/>
          </w:tcPr>
          <w:p>
            <w:r/>
            <w:r>
              <w:rPr>
                <w:rFonts w:eastAsia="Hiragino Sans" w:ascii="Hiragino Sans" w:hAnsi="Hiragino Sans"/>
                <w:b w:val="0"/>
                <w:sz w:val="18"/>
              </w:rPr>
              <w:t>Fiscal year ended March 31, 2026</w:t>
            </w:r>
          </w:p>
        </w:tc>
        <w:tc>
          <w:tcPr>
            <w:tcW w:type="dxa" w:w="2493"/>
          </w:tcPr>
          <w:p>
            <w:r/>
            <w:r>
              <w:rPr>
                <w:rFonts w:eastAsia="Hiragino Sans" w:ascii="Hiragino Sans" w:hAnsi="Hiragino Sans"/>
                <w:b w:val="0"/>
                <w:sz w:val="18"/>
              </w:rPr>
              <w:t>17.00</w:t>
            </w:r>
          </w:p>
        </w:tc>
        <w:tc>
          <w:tcPr>
            <w:tcW w:type="dxa" w:w="2493"/>
          </w:tcPr>
          <w:p>
            <w:r/>
            <w:r>
              <w:rPr>
                <w:rFonts w:eastAsia="Hiragino Sans" w:ascii="Hiragino Sans" w:hAnsi="Hiragino Sans"/>
                <w:b w:val="0"/>
                <w:sz w:val="18"/>
              </w:rPr>
              <w:t>17.00</w:t>
            </w:r>
          </w:p>
        </w:tc>
        <w:tc>
          <w:tcPr>
            <w:tcW w:type="dxa" w:w="2493"/>
          </w:tcPr>
          <w:p>
            <w:r/>
            <w:r>
              <w:rPr>
                <w:rFonts w:eastAsia="Hiragino Sans" w:ascii="Hiragino Sans" w:hAnsi="Hiragino Sans"/>
                <w:b w:val="0"/>
                <w:sz w:val="18"/>
              </w:rPr>
              <w:t>34.00</w:t>
            </w:r>
          </w:p>
        </w:tc>
      </w:tr>
      <w:tr>
        <w:tc>
          <w:tcPr>
            <w:tcW w:type="dxa" w:w="2493"/>
            <w:shd w:val="clear" w:fill="F7F8FA"/>
          </w:tcPr>
          <w:p>
            <w:r/>
            <w:r>
              <w:rPr>
                <w:rFonts w:eastAsia="Hiragino Sans" w:ascii="Hiragino Sans" w:hAnsi="Hiragino Sans"/>
                <w:b w:val="0"/>
                <w:sz w:val="18"/>
              </w:rPr>
              <w:t>Fiscal year ended March 31, 2025</w:t>
            </w:r>
          </w:p>
        </w:tc>
        <w:tc>
          <w:tcPr>
            <w:tcW w:type="dxa" w:w="2493"/>
            <w:shd w:val="clear" w:fill="F7F8FA"/>
          </w:tcPr>
          <w:p>
            <w:r/>
            <w:r>
              <w:rPr>
                <w:rFonts w:eastAsia="Hiragino Sans" w:ascii="Hiragino Sans" w:hAnsi="Hiragino Sans"/>
                <w:b w:val="0"/>
                <w:sz w:val="18"/>
              </w:rPr>
              <w:t>14.00</w:t>
            </w:r>
          </w:p>
        </w:tc>
        <w:tc>
          <w:tcPr>
            <w:tcW w:type="dxa" w:w="2493"/>
            <w:shd w:val="clear" w:fill="F7F8FA"/>
          </w:tcPr>
          <w:p>
            <w:r/>
            <w:r>
              <w:rPr>
                <w:rFonts w:eastAsia="Hiragino Sans" w:ascii="Hiragino Sans" w:hAnsi="Hiragino Sans"/>
                <w:b w:val="0"/>
                <w:sz w:val="18"/>
              </w:rPr>
              <w:t>16.00</w:t>
            </w:r>
          </w:p>
        </w:tc>
        <w:tc>
          <w:tcPr>
            <w:tcW w:type="dxa" w:w="2493"/>
            <w:shd w:val="clear" w:fill="F7F8FA"/>
          </w:tcPr>
          <w:p>
            <w:r/>
            <w:r>
              <w:rPr>
                <w:rFonts w:eastAsia="Hiragino Sans" w:ascii="Hiragino Sans" w:hAnsi="Hiragino Sans"/>
                <w:b w:val="0"/>
                <w:sz w:val="18"/>
              </w:rPr>
              <w:t>30.00</w:t>
            </w:r>
          </w:p>
        </w:tc>
      </w:tr>
    </w:tbl>
    <w:p>
      <w:pPr>
        <w:spacing w:after="40"/>
      </w:pPr>
    </w:p>
    <w:p>
      <w:pPr>
        <w:pStyle w:val="ListBullet"/>
        <w:ind w:left="240"/>
      </w:pPr>
      <w:r>
        <w:rPr>
          <w:rFonts w:eastAsia="Hiragino Sans" w:ascii="Hiragino Sans" w:hAnsi="Hiragino Sans"/>
          <w:b w:val="0"/>
          <w:sz w:val="20"/>
        </w:rPr>
        <w:t>(Note) This proposal is subject to approval at the 28th Annual General Meeting of Shareholders scheduled to be held on June 24, 2026 (year-end dividends of the Company are resolved by the General Meeting of Shareholders).</w:t>
      </w:r>
    </w:p>
    <w:p>
      <w:pPr>
        <w:ind w:left="120"/>
        <w:shd w:val="clear" w:fill="F3F4F6"/>
        <w:pBdr>
          <w:left w:val="single" w:sz="18" w:space="6" w:color="24406B"/>
        </w:pBdr>
      </w:pPr>
      <w:r>
        <w:rPr>
          <w:rFonts w:eastAsia="Hiragino Sans" w:ascii="Hiragino Sans" w:hAnsi="Hiragino Sans"/>
          <w:b w:val="0"/>
          <w:i/>
          <w:color w:val="444444"/>
          <w:sz w:val="18"/>
        </w:rPr>
        <w:t>This document has been translated from the Japanese original for reference purposes only. In the event of any discrepancy between this translated document and the Japanese original, the original shall prevail.</w:t>
      </w:r>
    </w:p>
    <w:p>
      <w:pPr>
        <w:ind w:left="120"/>
        <w:shd w:val="clear" w:fill="F3F4F6"/>
        <w:pBdr>
          <w:left w:val="single" w:sz="18" w:space="6" w:color="24406B"/>
        </w:pBdr>
      </w:pPr>
      <w:r>
        <w:rPr>
          <w:rFonts w:eastAsia="Hiragino Sans" w:ascii="Hiragino Sans" w:hAnsi="Hiragino Sans"/>
          <w:b w:val="0"/>
          <w:i/>
          <w:color w:val="444444"/>
          <w:sz w:val="18"/>
        </w:rPr>
        <w:t>チェック観点（日本語）: 期末配当の決定機関が株主総会である会社の書き方（to submit a proposal ... to the Annual General Meeting）であり、取締役会決議で確定する会社（会社法第459条第1項）の様式例（resolved ... to pay dividends）と混同しない。配当総額428百万円＝17円×25,185,000株。効力発生日（June 25, 2026）は総会翌日で、決算短信の "Scheduled date to commence dividend payments" と一致させる。</w:t>
      </w:r>
    </w:p>
    <w:p>
      <w:pPr>
        <w:jc w:val="center"/>
      </w:pPr>
      <w:r>
        <w:t>────────────────────────────────────────</w:t>
      </w:r>
    </w:p>
    <w:p>
      <w:pPr>
        <w:pStyle w:val="Heading1"/>
      </w:pPr>
      <w:r>
        <w:t>Reference — Simultaneous English disclosure checklist (for the disclosure team)</w:t>
      </w:r>
    </w:p>
    <w:tbl>
      <w:tblPr>
        <w:tblStyle w:val="TableGrid"/>
        <w:tblW w:type="auto" w:w="0"/>
        <w:jc w:val="center"/>
        <w:tblLayout w:type="autofit"/>
        <w:tblLook w:firstColumn="1" w:firstRow="1" w:lastColumn="0" w:lastRow="0" w:noHBand="0" w:noVBand="1" w:val="04A0"/>
      </w:tblPr>
      <w:tblGrid>
        <w:gridCol w:w="2493"/>
        <w:gridCol w:w="2493"/>
        <w:gridCol w:w="2493"/>
        <w:gridCol w:w="2493"/>
      </w:tblGrid>
      <w:tr>
        <w:tc>
          <w:tcPr>
            <w:tcW w:type="dxa" w:w="2493"/>
            <w:shd w:val="clear" w:fill="24406B"/>
          </w:tcPr>
          <w:p>
            <w:r/>
            <w:r>
              <w:rPr>
                <w:rFonts w:eastAsia="Hiragino Sans" w:ascii="Hiragino Sans" w:hAnsi="Hiragino Sans"/>
                <w:b/>
                <w:color w:val="FFFFFF"/>
                <w:sz w:val="18"/>
              </w:rPr>
              <w:t>Item</w:t>
            </w:r>
          </w:p>
        </w:tc>
        <w:tc>
          <w:tcPr>
            <w:tcW w:type="dxa" w:w="2493"/>
            <w:shd w:val="clear" w:fill="24406B"/>
          </w:tcPr>
          <w:p>
            <w:r/>
            <w:r>
              <w:rPr>
                <w:rFonts w:eastAsia="Hiragino Sans" w:ascii="Hiragino Sans" w:hAnsi="Hiragino Sans"/>
                <w:b/>
                <w:color w:val="FFFFFF"/>
                <w:sz w:val="18"/>
              </w:rPr>
              <w:t>Japanese original</w:t>
            </w:r>
          </w:p>
        </w:tc>
        <w:tc>
          <w:tcPr>
            <w:tcW w:type="dxa" w:w="2493"/>
            <w:shd w:val="clear" w:fill="24406B"/>
          </w:tcPr>
          <w:p>
            <w:r/>
            <w:r>
              <w:rPr>
                <w:rFonts w:eastAsia="Hiragino Sans" w:ascii="Hiragino Sans" w:hAnsi="Hiragino Sans"/>
                <w:b/>
                <w:color w:val="FFFFFF"/>
                <w:sz w:val="18"/>
              </w:rPr>
              <w:t>English version</w:t>
            </w:r>
          </w:p>
        </w:tc>
        <w:tc>
          <w:tcPr>
            <w:tcW w:type="dxa" w:w="2493"/>
            <w:shd w:val="clear" w:fill="24406B"/>
          </w:tcPr>
          <w:p>
            <w:r/>
            <w:r>
              <w:rPr>
                <w:rFonts w:eastAsia="Hiragino Sans" w:ascii="Hiragino Sans" w:hAnsi="Hiragino Sans"/>
                <w:b/>
                <w:color w:val="FFFFFF"/>
                <w:sz w:val="18"/>
              </w:rPr>
              <w:t>Check</w:t>
            </w:r>
          </w:p>
        </w:tc>
      </w:tr>
      <w:tr>
        <w:tc>
          <w:tcPr>
            <w:tcW w:type="dxa" w:w="2493"/>
          </w:tcPr>
          <w:p>
            <w:r/>
            <w:r>
              <w:rPr>
                <w:rFonts w:eastAsia="Hiragino Sans" w:ascii="Hiragino Sans" w:hAnsi="Hiragino Sans"/>
                <w:b w:val="0"/>
                <w:sz w:val="18"/>
              </w:rPr>
              <w:t>Revision of forecasts</w:t>
            </w:r>
          </w:p>
        </w:tc>
        <w:tc>
          <w:tcPr>
            <w:tcW w:type="dxa" w:w="2493"/>
          </w:tcPr>
          <w:p>
            <w:r/>
            <w:r>
              <w:rPr>
                <w:rFonts w:eastAsia="Hiragino Sans" w:ascii="Hiragino Sans" w:hAnsi="Hiragino Sans"/>
                <w:b w:val="0"/>
                <w:sz w:val="18"/>
              </w:rPr>
              <w:t>February 10, 2026 (TDnet)</w:t>
            </w:r>
          </w:p>
        </w:tc>
        <w:tc>
          <w:tcPr>
            <w:tcW w:type="dxa" w:w="2493"/>
          </w:tcPr>
          <w:p>
            <w:r/>
            <w:r>
              <w:rPr>
                <w:rFonts w:eastAsia="Hiragino Sans" w:ascii="Hiragino Sans" w:hAnsi="Hiragino Sans"/>
                <w:b w:val="0"/>
                <w:sz w:val="18"/>
              </w:rPr>
              <w:t>Same day, same time</w:t>
            </w:r>
          </w:p>
        </w:tc>
        <w:tc>
          <w:tcPr>
            <w:tcW w:type="dxa" w:w="2493"/>
          </w:tcPr>
          <w:p>
            <w:r/>
            <w:r>
              <w:rPr>
                <w:rFonts w:eastAsia="Hiragino Sans" w:ascii="Hiragino Sans" w:hAnsi="Hiragino Sans"/>
                <w:b w:val="0"/>
                <w:sz w:val="18"/>
              </w:rPr>
              <w:t>Figures and reasons identical; "voluntary disclosure" statement retained</w:t>
            </w:r>
          </w:p>
        </w:tc>
      </w:tr>
      <w:tr>
        <w:tc>
          <w:tcPr>
            <w:tcW w:type="dxa" w:w="2493"/>
            <w:shd w:val="clear" w:fill="F7F8FA"/>
          </w:tcPr>
          <w:p>
            <w:r/>
            <w:r>
              <w:rPr>
                <w:rFonts w:eastAsia="Hiragino Sans" w:ascii="Hiragino Sans" w:hAnsi="Hiragino Sans"/>
                <w:b w:val="0"/>
                <w:sz w:val="18"/>
              </w:rPr>
              <w:t>Acquisition of own shares</w:t>
            </w:r>
          </w:p>
        </w:tc>
        <w:tc>
          <w:tcPr>
            <w:tcW w:type="dxa" w:w="2493"/>
            <w:shd w:val="clear" w:fill="F7F8FA"/>
          </w:tcPr>
          <w:p>
            <w:r/>
            <w:r>
              <w:rPr>
                <w:rFonts w:eastAsia="Hiragino Sans" w:ascii="Hiragino Sans" w:hAnsi="Hiragino Sans"/>
                <w:b w:val="0"/>
                <w:sz w:val="18"/>
              </w:rPr>
              <w:t>May 13, 2026 (TDnet)</w:t>
            </w:r>
          </w:p>
        </w:tc>
        <w:tc>
          <w:tcPr>
            <w:tcW w:type="dxa" w:w="2493"/>
            <w:shd w:val="clear" w:fill="F7F8FA"/>
          </w:tcPr>
          <w:p>
            <w:r/>
            <w:r>
              <w:rPr>
                <w:rFonts w:eastAsia="Hiragino Sans" w:ascii="Hiragino Sans" w:hAnsi="Hiragino Sans"/>
                <w:b w:val="0"/>
                <w:sz w:val="18"/>
              </w:rPr>
              <w:t>Same day, same time</w:t>
            </w:r>
          </w:p>
        </w:tc>
        <w:tc>
          <w:tcPr>
            <w:tcW w:type="dxa" w:w="2493"/>
            <w:shd w:val="clear" w:fill="F7F8FA"/>
          </w:tcPr>
          <w:p>
            <w:r/>
            <w:r>
              <w:rPr>
                <w:rFonts w:eastAsia="Hiragino Sans" w:ascii="Hiragino Sans" w:hAnsi="Hiragino Sans"/>
                <w:b w:val="0"/>
                <w:sz w:val="18"/>
              </w:rPr>
              <w:t>Upper limits, period, and reference holdings identical; Companies Act references translated per TSE sample form</w:t>
            </w:r>
          </w:p>
        </w:tc>
      </w:tr>
      <w:tr>
        <w:tc>
          <w:tcPr>
            <w:tcW w:type="dxa" w:w="2493"/>
          </w:tcPr>
          <w:p>
            <w:r/>
            <w:r>
              <w:rPr>
                <w:rFonts w:eastAsia="Hiragino Sans" w:ascii="Hiragino Sans" w:hAnsi="Hiragino Sans"/>
                <w:b w:val="0"/>
                <w:sz w:val="18"/>
              </w:rPr>
              <w:t>Year-end dividend</w:t>
            </w:r>
          </w:p>
        </w:tc>
        <w:tc>
          <w:tcPr>
            <w:tcW w:type="dxa" w:w="2493"/>
          </w:tcPr>
          <w:p>
            <w:r/>
            <w:r>
              <w:rPr>
                <w:rFonts w:eastAsia="Hiragino Sans" w:ascii="Hiragino Sans" w:hAnsi="Hiragino Sans"/>
                <w:b w:val="0"/>
                <w:sz w:val="18"/>
              </w:rPr>
              <w:t>May 13, 2026 (TDnet)</w:t>
            </w:r>
          </w:p>
        </w:tc>
        <w:tc>
          <w:tcPr>
            <w:tcW w:type="dxa" w:w="2493"/>
          </w:tcPr>
          <w:p>
            <w:r/>
            <w:r>
              <w:rPr>
                <w:rFonts w:eastAsia="Hiragino Sans" w:ascii="Hiragino Sans" w:hAnsi="Hiragino Sans"/>
                <w:b w:val="0"/>
                <w:sz w:val="18"/>
              </w:rPr>
              <w:t>Same day, same time</w:t>
            </w:r>
          </w:p>
        </w:tc>
        <w:tc>
          <w:tcPr>
            <w:tcW w:type="dxa" w:w="2493"/>
          </w:tcPr>
          <w:p>
            <w:r/>
            <w:r>
              <w:rPr>
                <w:rFonts w:eastAsia="Hiragino Sans" w:ascii="Hiragino Sans" w:hAnsi="Hiragino Sans"/>
                <w:b w:val="0"/>
                <w:sz w:val="18"/>
              </w:rPr>
              <w:t>Record date, effective date and totals identical; AGM approval condition retained</w:t>
            </w:r>
          </w:p>
        </w:tc>
      </w:tr>
      <w:tr>
        <w:tc>
          <w:tcPr>
            <w:tcW w:type="dxa" w:w="2493"/>
            <w:shd w:val="clear" w:fill="F7F8FA"/>
          </w:tcPr>
          <w:p>
            <w:r/>
            <w:r>
              <w:rPr>
                <w:rFonts w:eastAsia="Hiragino Sans" w:ascii="Hiragino Sans" w:hAnsi="Hiragino Sans"/>
                <w:b w:val="0"/>
                <w:sz w:val="18"/>
              </w:rPr>
              <w:t>Terminology</w:t>
            </w:r>
          </w:p>
        </w:tc>
        <w:tc>
          <w:tcPr>
            <w:tcW w:type="dxa" w:w="2493"/>
            <w:shd w:val="clear" w:fill="F7F8FA"/>
          </w:tcPr>
          <w:p>
            <w:r/>
            <w:r>
              <w:rPr>
                <w:rFonts w:eastAsia="Hiragino Sans" w:ascii="Hiragino Sans" w:hAnsi="Hiragino Sans"/>
                <w:b w:val="0"/>
                <w:sz w:val="18"/>
              </w:rPr>
              <w:t>—</w:t>
            </w:r>
          </w:p>
        </w:tc>
        <w:tc>
          <w:tcPr>
            <w:tcW w:type="dxa" w:w="2493"/>
            <w:shd w:val="clear" w:fill="F7F8FA"/>
          </w:tcPr>
          <w:p>
            <w:r/>
            <w:r>
              <w:rPr>
                <w:rFonts w:eastAsia="Hiragino Sans" w:ascii="Hiragino Sans" w:hAnsi="Hiragino Sans"/>
                <w:b w:val="0"/>
                <w:sz w:val="18"/>
              </w:rPr>
              <w:t>—</w:t>
            </w:r>
          </w:p>
        </w:tc>
        <w:tc>
          <w:tcPr>
            <w:tcW w:type="dxa" w:w="2493"/>
            <w:shd w:val="clear" w:fill="F7F8FA"/>
          </w:tcPr>
          <w:p>
            <w:r/>
            <w:r>
              <w:rPr>
                <w:rFonts w:eastAsia="Hiragino Sans" w:ascii="Hiragino Sans" w:hAnsi="Hiragino Sans"/>
                <w:b w:val="0"/>
                <w:sz w:val="18"/>
              </w:rPr>
              <w:t>"Profit attributable to owners of parent" and "Ordinary profit" as in the English Consolidated Financial Results; "own shares" per the TSE sample forms for acquisitions (the English Consolidated Financial Results use "treasury shares" in its subsequent-events note; both are accepted TSE usage)</w:t>
            </w:r>
          </w:p>
        </w:tc>
      </w:tr>
    </w:tbl>
    <w:p>
      <w:pPr>
        <w:spacing w:after="40"/>
      </w:pPr>
    </w:p>
    <w:p>
      <w:pPr>
        <w:ind w:left="120"/>
        <w:shd w:val="clear" w:fill="F3F4F6"/>
        <w:pBdr>
          <w:left w:val="single" w:sz="18" w:space="6" w:color="24406B"/>
        </w:pBdr>
      </w:pPr>
      <w:r>
        <w:rPr>
          <w:rFonts w:eastAsia="Hiragino Sans" w:ascii="Hiragino Sans" w:hAnsi="Hiragino Sans"/>
          <w:b w:val="0"/>
          <w:i/>
          <w:color w:val="444444"/>
          <w:sz w:val="18"/>
        </w:rPr>
        <w:t>チェック観点（日本語）: 英文同時開示は「同日・同時刻」が原則（TDnet の英文登録）。英文版を後日公表する場合は日本語版に "English translation to follow" 等の注記は不要だが、プライム市場の要請上は同時開示が求められる。用語は決算短信英文版と統一する。</w:t>
      </w:r>
    </w:p>
    <w:sectPr w:rsidR="00FC693F" w:rsidRPr="0006063C" w:rsidSect="00034616">
      <w:footerReference w:type="default" r:id="rId9"/>
      <w:pgSz w:w="12240" w:h="15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rFonts w:eastAsia="Hiragino Sans" w:ascii="Hiragino Sans" w:hAnsi="Hiragino Sans"/>
        <w:color w:val="6B7280"/>
        <w:sz w:val="16"/>
      </w:rPr>
      <w:t xml:space="preserve">Timely Disclosure Notices — English Versions (fictitious sample)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Hiragino Sans" w:hAnsi="Hiragino Sans" w:eastAsia="Hiragino San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Hiragino Sans" w:hAnsi="Hiragino Sans" w:eastAsia="Hiragino Sans"/>
      <w:b/>
      <w:bCs/>
      <w:color w:val="24406B"/>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Hiragino Sans" w:hAnsi="Hiragino Sans" w:eastAsia="Hiragino Sans"/>
      <w:b/>
      <w:bCs/>
      <w:color w:val="24406B"/>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Hiragino Sans" w:hAnsi="Hiragino Sans" w:eastAsia="Hiragino Sans"/>
      <w:b/>
      <w:bCs/>
      <w:color w:val="333333"/>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Hiragino Sans" w:hAnsi="Hiragino Sans" w:eastAsia="Hiragino Sans"/>
      <w:b/>
      <w:bCs/>
      <w:i/>
      <w:iCs/>
      <w:color w:val="555555"/>
      <w:sz w:val="2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generated by python-docx</dc:description>
  <cp:revision>1</cp:revision>
  <dcterms:created xsi:type="dcterms:W3CDTF">2013-12-23T23:15:00Z</dcterms:created>
  <dcterms:modified xsi:type="dcterms:W3CDTF">2013-12-23T23:15:00Z</dcterms:modified>
  <cp:category/>
  <dc:creator>BENTO</dc:creator>
  <cp:lastModifiedBy>BENTO</cp:lastModifiedBy>
</cp:coreProperties>
</file>