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ENGLISH TRANSLATION (DRAFT)</w:t>
      </w:r>
    </w:p>
    <w:p>
      <w:r>
        <w:rPr>
          <w:rFonts w:eastAsia="Hiragino Sans" w:ascii="Hiragino Sans" w:hAnsi="Hiragino Sans"/>
          <w:b/>
          <w:color w:val="24406B"/>
          <w:sz w:val="48"/>
        </w:rPr>
        <w:t>Notice of the 28th Annual General Meeting of Shareholders — English Translation</w:t>
      </w:r>
    </w:p>
    <w:p>
      <w:r>
        <w:rPr>
          <w:rFonts w:eastAsia="Hiragino Sans" w:ascii="Hiragino Sans" w:hAnsi="Hiragino Sans"/>
          <w:color w:val="444444"/>
          <w:sz w:val="25"/>
        </w:rPr>
        <w:t>Sample Manufacturing Co., Ltd. / Dispatched June 5, 2026 — convocation notice and Reference Documents for the General Meeting of Shareholders</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Document</w:t>
            </w:r>
          </w:p>
        </w:tc>
        <w:tc>
          <w:tcPr>
            <w:tcW w:type="dxa" w:w="4986"/>
          </w:tcPr>
          <w:p>
            <w:r/>
            <w:r>
              <w:rPr>
                <w:rFonts w:eastAsia="Hiragino Sans" w:ascii="Hiragino Sans" w:hAnsi="Hiragino Sans"/>
                <w:b w:val="0"/>
                <w:sz w:val="19"/>
              </w:rPr>
              <w:t>Notice of the 28th Annual General Meeting of Shareholders (convocation notice) and Reference Documents — English translation of the Japanese original</w:t>
            </w:r>
          </w:p>
        </w:tc>
      </w:tr>
      <w:tr>
        <w:tc>
          <w:tcPr>
            <w:tcW w:type="dxa" w:w="4986"/>
            <w:shd w:val="clear" w:fill="F3F4F6"/>
          </w:tcPr>
          <w:p>
            <w:r/>
            <w:r>
              <w:rPr>
                <w:rFonts w:eastAsia="Hiragino Sans" w:ascii="Hiragino Sans" w:hAnsi="Hiragino Sans"/>
                <w:b/>
                <w:sz w:val="19"/>
              </w:rPr>
              <w:t>Basis</w:t>
            </w:r>
          </w:p>
        </w:tc>
        <w:tc>
          <w:tcPr>
            <w:tcW w:type="dxa" w:w="4986"/>
          </w:tcPr>
          <w:p>
            <w:r/>
            <w:r>
              <w:rPr>
                <w:rFonts w:eastAsia="Hiragino Sans" w:ascii="Hiragino Sans" w:hAnsi="Hiragino Sans"/>
                <w:b w:val="0"/>
                <w:sz w:val="19"/>
              </w:rPr>
              <w:t>Companies Act Articles 296, 298, 299, 301, 302 and 325-2 to 325-7; Regulation for Enforcement of the Companies Act Articles 63, 73 to 77 and 95-2 to 95-4 (Japanese original); TSE English translation of excerpts from the Keidanren templates</w:t>
            </w:r>
          </w:p>
        </w:tc>
      </w:tr>
      <w:tr>
        <w:tc>
          <w:tcPr>
            <w:tcW w:type="dxa" w:w="4986"/>
            <w:shd w:val="clear" w:fill="F3F4F6"/>
          </w:tcPr>
          <w:p>
            <w:r/>
            <w:r>
              <w:rPr>
                <w:rFonts w:eastAsia="Hiragino Sans" w:ascii="Hiragino Sans" w:hAnsi="Hiragino Sans"/>
                <w:b/>
                <w:sz w:val="19"/>
              </w:rPr>
              <w:t>Meeting</w:t>
            </w:r>
          </w:p>
        </w:tc>
        <w:tc>
          <w:tcPr>
            <w:tcW w:type="dxa" w:w="4986"/>
          </w:tcPr>
          <w:p>
            <w:r/>
            <w:r>
              <w:rPr>
                <w:rFonts w:eastAsia="Hiragino Sans" w:ascii="Hiragino Sans" w:hAnsi="Hiragino Sans"/>
                <w:b w:val="0"/>
                <w:sz w:val="19"/>
              </w:rPr>
              <w:t>Wednesday, June 24, 2026 at 10 a.m., Head Office of the Company (Suwa-shi, Nagano)</w:t>
            </w:r>
          </w:p>
        </w:tc>
      </w:tr>
      <w:tr>
        <w:tc>
          <w:tcPr>
            <w:tcW w:type="dxa" w:w="4986"/>
            <w:shd w:val="clear" w:fill="F3F4F6"/>
          </w:tcPr>
          <w:p>
            <w:r/>
            <w:r>
              <w:rPr>
                <w:rFonts w:eastAsia="Hiragino Sans" w:ascii="Hiragino Sans" w:hAnsi="Hiragino Sans"/>
                <w:b/>
                <w:sz w:val="19"/>
              </w:rPr>
              <w:t>Voting deadline</w:t>
            </w:r>
          </w:p>
        </w:tc>
        <w:tc>
          <w:tcPr>
            <w:tcW w:type="dxa" w:w="4986"/>
          </w:tcPr>
          <w:p>
            <w:r/>
            <w:r>
              <w:rPr>
                <w:rFonts w:eastAsia="Hiragino Sans" w:ascii="Hiragino Sans" w:hAnsi="Hiragino Sans"/>
                <w:b w:val="0"/>
                <w:sz w:val="19"/>
              </w:rPr>
              <w:t>5:30 p.m. on Tuesday, June 23, 2026</w:t>
            </w:r>
          </w:p>
        </w:tc>
      </w:tr>
      <w:tr>
        <w:tc>
          <w:tcPr>
            <w:tcW w:type="dxa" w:w="4986"/>
            <w:shd w:val="clear" w:fill="F3F4F6"/>
          </w:tcPr>
          <w:p>
            <w:r/>
            <w:r>
              <w:rPr>
                <w:rFonts w:eastAsia="Hiragino Sans" w:ascii="Hiragino Sans" w:hAnsi="Hiragino Sans"/>
                <w:b/>
                <w:sz w:val="19"/>
              </w:rPr>
              <w:t>Company</w:t>
            </w:r>
          </w:p>
        </w:tc>
        <w:tc>
          <w:tcPr>
            <w:tcW w:type="dxa" w:w="4986"/>
          </w:tcPr>
          <w:p>
            <w:r/>
            <w:r>
              <w:rPr>
                <w:rFonts w:eastAsia="Hiragino Sans" w:ascii="Hiragino Sans" w:hAnsi="Hiragino Sans"/>
                <w:b w:val="0"/>
                <w:sz w:val="19"/>
              </w:rPr>
              <w:t>Sample Manufacturing Co., Ltd. (fictitious sample, TSE Prime Market)</w:t>
            </w:r>
          </w:p>
        </w:tc>
      </w:tr>
      <w:tr>
        <w:tc>
          <w:tcPr>
            <w:tcW w:type="dxa" w:w="4986"/>
            <w:shd w:val="clear" w:fill="F3F4F6"/>
          </w:tcPr>
          <w:p>
            <w:r/>
            <w:r>
              <w:rPr>
                <w:rFonts w:eastAsia="Hiragino Sans" w:ascii="Hiragino Sans" w:hAnsi="Hiragino Sans"/>
                <w:b/>
                <w:sz w:val="19"/>
              </w:rPr>
              <w:t>Prepared by</w:t>
            </w:r>
          </w:p>
        </w:tc>
        <w:tc>
          <w:tcPr>
            <w:tcW w:type="dxa" w:w="4986"/>
          </w:tcPr>
          <w:p>
            <w:r/>
            <w:r>
              <w:rPr>
                <w:rFonts w:eastAsia="Hiragino Sans" w:ascii="Hiragino Sans" w:hAnsi="Hiragino Sans"/>
                <w:b w:val="0"/>
                <w:sz w:val="19"/>
              </w:rPr>
              <w:t>cpaai.jp (AI-generated draft)</w:t>
            </w:r>
          </w:p>
        </w:tc>
      </w:tr>
      <w:tr>
        <w:tc>
          <w:tcPr>
            <w:tcW w:type="dxa" w:w="4986"/>
            <w:shd w:val="clear" w:fill="F3F4F6"/>
          </w:tcPr>
          <w:p>
            <w:r/>
            <w:r>
              <w:rPr>
                <w:rFonts w:eastAsia="Hiragino Sans" w:ascii="Hiragino Sans" w:hAnsi="Hiragino Sans"/>
                <w:b/>
                <w:sz w:val="19"/>
              </w:rPr>
              <w:t>Reviewed by</w:t>
            </w:r>
          </w:p>
        </w:tc>
        <w:tc>
          <w:tcPr>
            <w:tcW w:type="dxa" w:w="4986"/>
          </w:tcPr>
          <w:p>
            <w:r/>
            <w:r>
              <w:rPr>
                <w:rFonts w:eastAsia="Hiragino Sans" w:ascii="Hiragino Sans" w:hAnsi="Hiragino Sans"/>
                <w:b w:val="0"/>
                <w:sz w:val="19"/>
              </w:rPr>
              <w:t>—</w:t>
            </w:r>
          </w:p>
        </w:tc>
      </w:tr>
    </w:tbl>
    <w:p/>
    <w:p>
      <w:pPr>
        <w:ind w:left="120"/>
        <w:shd w:val="clear" w:fill="F3F4F6"/>
        <w:pBdr>
          <w:left w:val="single" w:sz="18" w:space="6" w:color="24406B"/>
        </w:pBdr>
      </w:pPr>
      <w:r>
        <w:rPr>
          <w:rFonts w:eastAsia="Hiragino Sans" w:ascii="Hiragino Sans" w:hAnsi="Hiragino Sans"/>
          <w:b w:val="0"/>
          <w:i/>
          <w:color w:val="444444"/>
          <w:sz w:val="18"/>
        </w:rPr>
        <w:t>This document is an AI-generated draft prepared for review by certified public accountants, legal counsel and the shareholder registry administrator. The company, individuals and figures are entirely fictitious and bear no relation to any actual company or person. It is not intended as a solicitation of investment or a basis for investment decisions. This English translation is provided for reference purposes only; the Japanese original prevails.</w:t>
      </w:r>
    </w:p>
    <w:p>
      <w:r>
        <w:br w:type="page"/>
      </w:r>
    </w:p>
    <w:p>
      <w:pPr>
        <w:ind w:left="120"/>
        <w:shd w:val="clear" w:fill="F3F4F6"/>
        <w:pBdr>
          <w:left w:val="single" w:sz="18" w:space="6" w:color="24406B"/>
        </w:pBdr>
      </w:pPr>
      <w:r>
        <w:rPr>
          <w:rFonts w:eastAsia="Hiragino Sans" w:ascii="Hiragino Sans" w:hAnsi="Hiragino Sans"/>
          <w:b w:val="0"/>
          <w:i/>
          <w:color w:val="444444"/>
          <w:sz w:val="18"/>
        </w:rPr>
        <w:t>This document is an AI-generated draft prepared for review by certified public accountants, legal counsel and the shareholder registry administrator. The company, individuals and figures are entirely fictitious and bear no relation to any actual company or person. It is not intended as a solicitation of investment or a basis for investment decisions.</w:t>
      </w:r>
    </w:p>
    <w:p>
      <w:pPr>
        <w:ind w:left="120"/>
        <w:shd w:val="clear" w:fill="F3F4F6"/>
        <w:pBdr>
          <w:left w:val="single" w:sz="18" w:space="6" w:color="24406B"/>
        </w:pBdr>
      </w:pPr>
      <w:r>
        <w:rPr>
          <w:rFonts w:eastAsia="Hiragino Sans" w:ascii="Hiragino Sans" w:hAnsi="Hiragino Sans"/>
          <w:b w:val="0"/>
          <w:i/>
          <w:color w:val="444444"/>
          <w:sz w:val="18"/>
        </w:rPr>
        <w:t>Note: This document is an English translation of the Japanese original "第28期定時株主総会招集ご通知" (convocation notice and Reference Documents for the General Meeting of Shareholders) prepared for the convenience of non-Japanese shareholders. The Business Report, the Consolidated Financial Statements, the Non-consolidated Financial Statements and the audit reports are provided separately. In the event of any discrepancy between this translation and the Japanese original, the original shall prevail. The structure and terminology follow the Tokyo Stock Exchange's English translation of excerpts from the Keidanren "Templates for Various Documents of a Stock Company under the Regulation for Enforcement of the Companies Act and the Regulation on Corporate Accounting" (revised November 1, 2022).</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Document</w:t>
            </w:r>
          </w:p>
        </w:tc>
        <w:tc>
          <w:tcPr>
            <w:tcW w:type="dxa" w:w="4986"/>
          </w:tcPr>
          <w:p>
            <w:r/>
            <w:r>
              <w:rPr>
                <w:rFonts w:eastAsia="Hiragino Sans" w:ascii="Hiragino Sans" w:hAnsi="Hiragino Sans"/>
                <w:b w:val="0"/>
                <w:sz w:val="18"/>
              </w:rPr>
              <w:t>Notice of the 28th Annual General Meeting of Shareholders (convocation notice) and Reference Documents for the General Meeting of Shareholders — English translation</w:t>
            </w:r>
          </w:p>
        </w:tc>
      </w:tr>
      <w:tr>
        <w:tc>
          <w:tcPr>
            <w:tcW w:type="dxa" w:w="4986"/>
            <w:shd w:val="clear" w:fill="F7F8FA"/>
          </w:tcPr>
          <w:p>
            <w:r/>
            <w:r>
              <w:rPr>
                <w:rFonts w:eastAsia="Hiragino Sans" w:ascii="Hiragino Sans" w:hAnsi="Hiragino Sans"/>
                <w:b w:val="0"/>
                <w:sz w:val="18"/>
              </w:rPr>
              <w:t>Legal basis (Japanese original)</w:t>
            </w:r>
          </w:p>
        </w:tc>
        <w:tc>
          <w:tcPr>
            <w:tcW w:type="dxa" w:w="4986"/>
            <w:shd w:val="clear" w:fill="F7F8FA"/>
          </w:tcPr>
          <w:p>
            <w:r/>
            <w:r>
              <w:rPr>
                <w:rFonts w:eastAsia="Hiragino Sans" w:ascii="Hiragino Sans" w:hAnsi="Hiragino Sans"/>
                <w:b w:val="0"/>
                <w:sz w:val="18"/>
              </w:rPr>
              <w:t>Companies Act Articles 296, 298 and 299 (convocation), Articles 301 and 302 (reference documents and voting forms), Articles 325-2 to 325-7 (measures for electronic provision); Regulation for Enforcement of the Companies Act Articles 63, 73 to 77, 95-2 to 95-4</w:t>
            </w:r>
          </w:p>
        </w:tc>
      </w:tr>
      <w:tr>
        <w:tc>
          <w:tcPr>
            <w:tcW w:type="dxa" w:w="4986"/>
          </w:tcPr>
          <w:p>
            <w:r/>
            <w:r>
              <w:rPr>
                <w:rFonts w:eastAsia="Hiragino Sans" w:ascii="Hiragino Sans" w:hAnsi="Hiragino Sans"/>
                <w:b w:val="0"/>
                <w:sz w:val="18"/>
              </w:rPr>
              <w:t>Date of dispatch of the notice</w:t>
            </w:r>
          </w:p>
        </w:tc>
        <w:tc>
          <w:tcPr>
            <w:tcW w:type="dxa" w:w="4986"/>
          </w:tcPr>
          <w:p>
            <w:r/>
            <w:r>
              <w:rPr>
                <w:rFonts w:eastAsia="Hiragino Sans" w:ascii="Hiragino Sans" w:hAnsi="Hiragino Sans"/>
                <w:b w:val="0"/>
                <w:sz w:val="18"/>
              </w:rPr>
              <w:t>June 5, 2026 (Friday)</w:t>
            </w:r>
          </w:p>
        </w:tc>
      </w:tr>
      <w:tr>
        <w:tc>
          <w:tcPr>
            <w:tcW w:type="dxa" w:w="4986"/>
            <w:shd w:val="clear" w:fill="F7F8FA"/>
          </w:tcPr>
          <w:p>
            <w:r/>
            <w:r>
              <w:rPr>
                <w:rFonts w:eastAsia="Hiragino Sans" w:ascii="Hiragino Sans" w:hAnsi="Hiragino Sans"/>
                <w:b w:val="0"/>
                <w:sz w:val="18"/>
              </w:rPr>
              <w:t>Start of measures for electronic provision</w:t>
            </w:r>
          </w:p>
        </w:tc>
        <w:tc>
          <w:tcPr>
            <w:tcW w:type="dxa" w:w="4986"/>
            <w:shd w:val="clear" w:fill="F7F8FA"/>
          </w:tcPr>
          <w:p>
            <w:r/>
            <w:r>
              <w:rPr>
                <w:rFonts w:eastAsia="Hiragino Sans" w:ascii="Hiragino Sans" w:hAnsi="Hiragino Sans"/>
                <w:b w:val="0"/>
                <w:sz w:val="18"/>
              </w:rPr>
              <w:t>June 2, 2026 (Tuesday)</w:t>
            </w:r>
          </w:p>
        </w:tc>
      </w:tr>
      <w:tr>
        <w:tc>
          <w:tcPr>
            <w:tcW w:type="dxa" w:w="4986"/>
          </w:tcPr>
          <w:p>
            <w:r/>
            <w:r>
              <w:rPr>
                <w:rFonts w:eastAsia="Hiragino Sans" w:ascii="Hiragino Sans" w:hAnsi="Hiragino Sans"/>
                <w:b w:val="0"/>
                <w:sz w:val="18"/>
              </w:rPr>
              <w:t>Date and time of the meeting</w:t>
            </w:r>
          </w:p>
        </w:tc>
        <w:tc>
          <w:tcPr>
            <w:tcW w:type="dxa" w:w="4986"/>
          </w:tcPr>
          <w:p>
            <w:r/>
            <w:r>
              <w:rPr>
                <w:rFonts w:eastAsia="Hiragino Sans" w:ascii="Hiragino Sans" w:hAnsi="Hiragino Sans"/>
                <w:b w:val="0"/>
                <w:sz w:val="18"/>
              </w:rPr>
              <w:t>Wednesday, June 24, 2026 at 10 a.m.</w:t>
            </w:r>
          </w:p>
        </w:tc>
      </w:tr>
      <w:tr>
        <w:tc>
          <w:tcPr>
            <w:tcW w:type="dxa" w:w="4986"/>
            <w:shd w:val="clear" w:fill="F7F8FA"/>
          </w:tcPr>
          <w:p>
            <w:r/>
            <w:r>
              <w:rPr>
                <w:rFonts w:eastAsia="Hiragino Sans" w:ascii="Hiragino Sans" w:hAnsi="Hiragino Sans"/>
                <w:b w:val="0"/>
                <w:sz w:val="18"/>
              </w:rPr>
              <w:t>Deadline for exercising voting rights</w:t>
            </w:r>
          </w:p>
        </w:tc>
        <w:tc>
          <w:tcPr>
            <w:tcW w:type="dxa" w:w="4986"/>
            <w:shd w:val="clear" w:fill="F7F8FA"/>
          </w:tcPr>
          <w:p>
            <w:r/>
            <w:r>
              <w:rPr>
                <w:rFonts w:eastAsia="Hiragino Sans" w:ascii="Hiragino Sans" w:hAnsi="Hiragino Sans"/>
                <w:b w:val="0"/>
                <w:sz w:val="18"/>
              </w:rPr>
              <w:t>5:30 p.m. on Tuesday, June 23, 2026</w:t>
            </w:r>
          </w:p>
        </w:tc>
      </w:tr>
      <w:tr>
        <w:tc>
          <w:tcPr>
            <w:tcW w:type="dxa" w:w="4986"/>
          </w:tcPr>
          <w:p>
            <w:r/>
            <w:r>
              <w:rPr>
                <w:rFonts w:eastAsia="Hiragino Sans" w:ascii="Hiragino Sans" w:hAnsi="Hiragino Sans"/>
                <w:b w:val="0"/>
                <w:sz w:val="18"/>
              </w:rPr>
              <w:t>Record date</w:t>
            </w:r>
          </w:p>
        </w:tc>
        <w:tc>
          <w:tcPr>
            <w:tcW w:type="dxa" w:w="4986"/>
          </w:tcPr>
          <w:p>
            <w:r/>
            <w:r>
              <w:rPr>
                <w:rFonts w:eastAsia="Hiragino Sans" w:ascii="Hiragino Sans" w:hAnsi="Hiragino Sans"/>
                <w:b w:val="0"/>
                <w:sz w:val="18"/>
              </w:rPr>
              <w:t>March 31, 2026 (number of voting rights: 245,953)</w:t>
            </w:r>
          </w:p>
        </w:tc>
      </w:tr>
      <w:tr>
        <w:tc>
          <w:tcPr>
            <w:tcW w:type="dxa" w:w="4986"/>
            <w:shd w:val="clear" w:fill="F7F8FA"/>
          </w:tcPr>
          <w:p>
            <w:r/>
            <w:r>
              <w:rPr>
                <w:rFonts w:eastAsia="Hiragino Sans" w:ascii="Hiragino Sans" w:hAnsi="Hiragino Sans"/>
                <w:b w:val="0"/>
                <w:sz w:val="18"/>
              </w:rPr>
              <w:t>Resolution to convene</w:t>
            </w:r>
          </w:p>
        </w:tc>
        <w:tc>
          <w:tcPr>
            <w:tcW w:type="dxa" w:w="4986"/>
            <w:shd w:val="clear" w:fill="F7F8FA"/>
          </w:tcPr>
          <w:p>
            <w:r/>
            <w:r>
              <w:rPr>
                <w:rFonts w:eastAsia="Hiragino Sans" w:ascii="Hiragino Sans" w:hAnsi="Hiragino Sans"/>
                <w:b w:val="0"/>
                <w:sz w:val="18"/>
              </w:rPr>
              <w:t>Board of Directors, May 27, 2026 (Article 298, Paragraph 4 of the Companies Act)</w:t>
            </w:r>
          </w:p>
        </w:tc>
      </w:tr>
      <w:tr>
        <w:tc>
          <w:tcPr>
            <w:tcW w:type="dxa" w:w="4986"/>
          </w:tcPr>
          <w:p>
            <w:r/>
            <w:r>
              <w:rPr>
                <w:rFonts w:eastAsia="Hiragino Sans" w:ascii="Hiragino Sans" w:hAnsi="Hiragino Sans"/>
                <w:b w:val="0"/>
                <w:sz w:val="18"/>
              </w:rPr>
              <w:t>Company name</w:t>
            </w:r>
          </w:p>
        </w:tc>
        <w:tc>
          <w:tcPr>
            <w:tcW w:type="dxa" w:w="4986"/>
          </w:tcPr>
          <w:p>
            <w:r/>
            <w:r>
              <w:rPr>
                <w:rFonts w:eastAsia="Hiragino Sans" w:ascii="Hiragino Sans" w:hAnsi="Hiragino Sans"/>
                <w:b w:val="0"/>
                <w:sz w:val="18"/>
              </w:rPr>
              <w:t>Sample Manufacturing Co., Ltd.（サンプル製造株式会社）</w:t>
            </w:r>
          </w:p>
        </w:tc>
      </w:tr>
      <w:tr>
        <w:tc>
          <w:tcPr>
            <w:tcW w:type="dxa" w:w="4986"/>
            <w:shd w:val="clear" w:fill="F7F8FA"/>
          </w:tcPr>
          <w:p>
            <w:r/>
            <w:r>
              <w:rPr>
                <w:rFonts w:eastAsia="Hiragino Sans" w:ascii="Hiragino Sans" w:hAnsi="Hiragino Sans"/>
                <w:b w:val="0"/>
                <w:sz w:val="18"/>
              </w:rPr>
              <w:t>Prepared by</w:t>
            </w:r>
          </w:p>
        </w:tc>
        <w:tc>
          <w:tcPr>
            <w:tcW w:type="dxa" w:w="4986"/>
            <w:shd w:val="clear" w:fill="F7F8FA"/>
          </w:tcPr>
          <w:p>
            <w:r/>
            <w:r>
              <w:rPr>
                <w:rFonts w:eastAsia="Hiragino Sans" w:ascii="Hiragino Sans" w:hAnsi="Hiragino Sans"/>
                <w:b w:val="0"/>
                <w:sz w:val="18"/>
              </w:rPr>
              <w:t>cpaai.jp (AI-generated draft)</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チェック観点（日本語）: 英訳は東証が公表する経団連ひな型の英訳（「会社法施行規則及び会社計算規則による株式会社の各種書類のひな型」の記載例抜粋。NOTICE OF THE ○TH ANNUAL GENERAL MEETING OF SHAREHOLDERS／Matters to be reported／Proposals to be resolved／Matters Regarding Measures for Electronic Provision／Reference Documents）の構成に倣い、機関名の英訳は Audit &amp; Supervisory Board（監査役会）・Audit &amp; Supervisory Board Member（監査役）・Accounting Auditor（会計監査人）・Outside Director（社外取締役）で統一する。日付・議決権数・配当総額・候補者の氏名と持株数は日本語版（電子提供措置事項）と同一（check:sample-consistency で突合）。英訳版は法定書類ではなく参考訳であり、原文優先の注記を必ず置く。</w:t>
      </w:r>
    </w:p>
    <w:p>
      <w:pPr>
        <w:jc w:val="center"/>
      </w:pPr>
      <w:r>
        <w:t>────────────────────────────────────────</w:t>
      </w:r>
    </w:p>
    <w:p>
      <w:pPr>
        <w:pStyle w:val="Heading1"/>
      </w:pPr>
      <w:r>
        <w:t>Part 1 — Convocation Notice</w:t>
      </w:r>
    </w:p>
    <w:p>
      <w:pPr>
        <w:spacing w:after="80"/>
      </w:pPr>
      <w:r>
        <w:rPr>
          <w:rFonts w:eastAsia="Hiragino Sans" w:ascii="Hiragino Sans" w:hAnsi="Hiragino Sans"/>
          <w:b w:val="0"/>
          <w:i w:val="0"/>
        </w:rPr>
        <w:t>(Securities Code: 0000) June 5, 2026</w:t>
      </w:r>
    </w:p>
    <w:p>
      <w:pPr>
        <w:spacing w:after="80"/>
      </w:pPr>
      <w:r>
        <w:rPr>
          <w:rFonts w:eastAsia="Hiragino Sans" w:ascii="Hiragino Sans" w:hAnsi="Hiragino Sans"/>
          <w:b w:val="0"/>
          <w:i w:val="0"/>
        </w:rPr>
        <w:t>To Shareholders:</w:t>
      </w:r>
    </w:p>
    <w:p>
      <w:pPr>
        <w:spacing w:after="80"/>
      </w:pPr>
      <w:r>
        <w:rPr>
          <w:rFonts w:eastAsia="Hiragino Sans" w:ascii="Hiragino Sans" w:hAnsi="Hiragino Sans"/>
          <w:b w:val="0"/>
          <w:i w:val="0"/>
        </w:rPr>
        <w:t>1-2-3 Misono-cho, Suwa-shi, Nagano Sample Manufacturing Co., Ltd. Seiichiro Fujikawa, President and Representative Director</w:t>
      </w:r>
    </w:p>
    <w:p>
      <w:pPr>
        <w:spacing w:after="80"/>
      </w:pPr>
      <w:r>
        <w:rPr>
          <w:rFonts w:eastAsia="Hiragino Sans" w:ascii="Hiragino Sans" w:hAnsi="Hiragino Sans"/>
          <w:b/>
          <w:i w:val="0"/>
        </w:rPr>
        <w:t>NOTICE OF THE 28TH ANNUAL GENERAL MEETING OF SHAREHOLDERS</w:t>
      </w:r>
    </w:p>
    <w:p>
      <w:pPr>
        <w:spacing w:after="80"/>
      </w:pPr>
      <w:r>
        <w:rPr>
          <w:rFonts w:eastAsia="Hiragino Sans" w:ascii="Hiragino Sans" w:hAnsi="Hiragino Sans"/>
          <w:b w:val="0"/>
          <w:i w:val="0"/>
        </w:rPr>
        <w:t>Dear Shareholders:</w:t>
      </w:r>
    </w:p>
    <w:p>
      <w:pPr>
        <w:spacing w:after="80"/>
      </w:pPr>
      <w:r>
        <w:rPr>
          <w:rFonts w:eastAsia="Hiragino Sans" w:ascii="Hiragino Sans" w:hAnsi="Hiragino Sans"/>
          <w:b w:val="0"/>
          <w:i w:val="0"/>
        </w:rPr>
        <w:t>You are cordially invited to attend the 28th Annual General Meeting of Shareholders of Sample Manufacturing Co., Ltd. (the "Company"). The meeting will be held for the purposes described below.</w:t>
      </w:r>
    </w:p>
    <w:p>
      <w:pPr>
        <w:spacing w:after="80"/>
      </w:pPr>
      <w:r>
        <w:rPr>
          <w:rFonts w:eastAsia="Hiragino Sans" w:ascii="Hiragino Sans" w:hAnsi="Hiragino Sans"/>
          <w:b w:val="0"/>
          <w:i w:val="0"/>
        </w:rPr>
        <w:t>In convening this meeting, the Company has taken measures for electronic provision of the information contained in the Reference Documents for the General Meeting of Shareholders and other materials, and has posted the information on the Company's website below. Please review the materials there.</w:t>
      </w:r>
    </w:p>
    <w:p>
      <w:pPr>
        <w:pStyle w:val="ListBullet"/>
        <w:ind w:left="240"/>
      </w:pPr>
      <w:r>
        <w:rPr>
          <w:rFonts w:eastAsia="Hiragino Sans" w:ascii="Hiragino Sans" w:hAnsi="Hiragino Sans"/>
          <w:b w:val="0"/>
          <w:sz w:val="20"/>
        </w:rPr>
        <w:t>The Company's website: https://www.sample-mfg.example/ir/agm/</w:t>
      </w:r>
    </w:p>
    <w:p>
      <w:pPr>
        <w:pStyle w:val="ListBullet"/>
        <w:ind w:left="240"/>
      </w:pPr>
      <w:r>
        <w:rPr>
          <w:rFonts w:eastAsia="Hiragino Sans" w:ascii="Hiragino Sans" w:hAnsi="Hiragino Sans"/>
          <w:b w:val="0"/>
          <w:sz w:val="20"/>
        </w:rPr>
        <w:t>The materials are also posted on the website of the Tokyo Stock Exchange (Listed Company Search).</w:t>
      </w:r>
    </w:p>
    <w:p>
      <w:pPr>
        <w:spacing w:after="80"/>
      </w:pPr>
      <w:r>
        <w:rPr>
          <w:rFonts w:eastAsia="Hiragino Sans" w:ascii="Hiragino Sans" w:hAnsi="Hiragino Sans"/>
          <w:b w:val="0"/>
          <w:i w:val="0"/>
        </w:rPr>
        <w:t xml:space="preserve">If you are unable to attend the meeting, you can exercise your voting rights in writing or via the Internet. Please review the "Guide to Exercising Voting Rights" below and exercise your voting rights by </w:t>
      </w:r>
      <w:r>
        <w:rPr>
          <w:rFonts w:eastAsia="Hiragino Sans" w:ascii="Hiragino Sans" w:hAnsi="Hiragino Sans"/>
          <w:b/>
          <w:i w:val="0"/>
        </w:rPr>
        <w:t>5:30 p.m. on Tuesday, June 23, 2026</w:t>
      </w:r>
      <w:r>
        <w:rPr>
          <w:rFonts w:eastAsia="Hiragino Sans" w:ascii="Hiragino Sans" w:hAnsi="Hiragino Sans"/>
          <w:b w:val="0"/>
          <w:i w:val="0"/>
        </w:rPr>
        <w:t>.</w:t>
      </w:r>
    </w:p>
    <w:p>
      <w:pPr>
        <w:spacing w:after="80"/>
      </w:pPr>
      <w:r>
        <w:rPr>
          <w:rFonts w:eastAsia="Hiragino Sans" w:ascii="Hiragino Sans" w:hAnsi="Hiragino Sans"/>
          <w:b w:val="0"/>
          <w:i w:val="0"/>
        </w:rPr>
        <w:t>Sincerely yours,</w:t>
      </w:r>
    </w:p>
    <w:p>
      <w:pPr>
        <w:pStyle w:val="Heading2"/>
      </w:pPr>
      <w:r>
        <w:t>1. Particulars of the Meeting</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Date and Time</w:t>
            </w:r>
          </w:p>
        </w:tc>
        <w:tc>
          <w:tcPr>
            <w:tcW w:type="dxa" w:w="4986"/>
          </w:tcPr>
          <w:p>
            <w:r/>
            <w:r>
              <w:rPr>
                <w:rFonts w:eastAsia="Hiragino Sans" w:ascii="Hiragino Sans" w:hAnsi="Hiragino Sans"/>
                <w:b w:val="0"/>
                <w:sz w:val="18"/>
              </w:rPr>
              <w:t>Wednesday, June 24, 2026 at 10 a.m. (reception opens at 9 a.m.)</w:t>
            </w:r>
          </w:p>
        </w:tc>
      </w:tr>
      <w:tr>
        <w:tc>
          <w:tcPr>
            <w:tcW w:type="dxa" w:w="4986"/>
            <w:shd w:val="clear" w:fill="F7F8FA"/>
          </w:tcPr>
          <w:p>
            <w:r/>
            <w:r>
              <w:rPr>
                <w:rFonts w:eastAsia="Hiragino Sans" w:ascii="Hiragino Sans" w:hAnsi="Hiragino Sans"/>
                <w:b w:val="0"/>
                <w:sz w:val="18"/>
              </w:rPr>
              <w:t>Place</w:t>
            </w:r>
          </w:p>
        </w:tc>
        <w:tc>
          <w:tcPr>
            <w:tcW w:type="dxa" w:w="4986"/>
            <w:shd w:val="clear" w:fill="F7F8FA"/>
          </w:tcPr>
          <w:p>
            <w:r/>
            <w:r>
              <w:rPr>
                <w:rFonts w:eastAsia="Hiragino Sans" w:ascii="Hiragino Sans" w:hAnsi="Hiragino Sans"/>
                <w:b w:val="0"/>
                <w:sz w:val="18"/>
              </w:rPr>
              <w:t>Large Conference Room, 3rd Floor, Head Office of the Company, 1-2-3 Misono-cho, Suwa-shi, Nagano</w:t>
            </w:r>
          </w:p>
        </w:tc>
      </w:tr>
      <w:tr>
        <w:tc>
          <w:tcPr>
            <w:tcW w:type="dxa" w:w="4986"/>
          </w:tcPr>
          <w:p>
            <w:r/>
            <w:r>
              <w:rPr>
                <w:rFonts w:eastAsia="Hiragino Sans" w:ascii="Hiragino Sans" w:hAnsi="Hiragino Sans"/>
                <w:b w:val="0"/>
                <w:sz w:val="18"/>
              </w:rPr>
              <w:t>Meeting Agenda — Matters to be reported</w:t>
            </w:r>
          </w:p>
        </w:tc>
        <w:tc>
          <w:tcPr>
            <w:tcW w:type="dxa" w:w="4986"/>
          </w:tcPr>
          <w:p>
            <w:r/>
            <w:r>
              <w:rPr>
                <w:rFonts w:eastAsia="Hiragino Sans" w:ascii="Hiragino Sans" w:hAnsi="Hiragino Sans"/>
                <w:b w:val="0"/>
                <w:sz w:val="18"/>
              </w:rPr>
              <w:t>1. The Business Report and the Consolidated Financial Statements for the Company's 28th Fiscal Year (April 1, 2025 to March 31, 2026), and the results of audits of the Consolidated Financial Statements by the Accounting Auditor and the Audit &amp; Supervisory Board; 2. The Non-consolidated Financial Statements for the Company's 28th Fiscal Year (April 1, 2025 to March 31, 2026)</w:t>
            </w:r>
          </w:p>
        </w:tc>
      </w:tr>
      <w:tr>
        <w:tc>
          <w:tcPr>
            <w:tcW w:type="dxa" w:w="4986"/>
            <w:shd w:val="clear" w:fill="F7F8FA"/>
          </w:tcPr>
          <w:p>
            <w:r/>
            <w:r>
              <w:rPr>
                <w:rFonts w:eastAsia="Hiragino Sans" w:ascii="Hiragino Sans" w:hAnsi="Hiragino Sans"/>
                <w:b w:val="0"/>
                <w:sz w:val="18"/>
              </w:rPr>
              <w:t>Meeting Agenda — Proposals to be resolved</w:t>
            </w:r>
          </w:p>
        </w:tc>
        <w:tc>
          <w:tcPr>
            <w:tcW w:type="dxa" w:w="4986"/>
            <w:shd w:val="clear" w:fill="F7F8FA"/>
          </w:tcPr>
          <w:p>
            <w:r/>
            <w:r>
              <w:rPr>
                <w:rFonts w:eastAsia="Hiragino Sans" w:ascii="Hiragino Sans" w:hAnsi="Hiragino Sans"/>
                <w:b w:val="0"/>
                <w:sz w:val="18"/>
              </w:rPr>
              <w:t>Proposal 1: Appropriation of Surplus / Proposal 2: Election of Seven Directors / Proposal 3: Election of One Substitute Audit &amp; Supervisory Board Member</w:t>
            </w:r>
          </w:p>
        </w:tc>
      </w:tr>
    </w:tbl>
    <w:p>
      <w:pPr>
        <w:spacing w:after="40"/>
      </w:pPr>
    </w:p>
    <w:p>
      <w:pPr>
        <w:spacing w:after="80"/>
      </w:pPr>
      <w:r>
        <w:rPr>
          <w:rFonts w:eastAsia="Hiragino Sans" w:ascii="Hiragino Sans" w:hAnsi="Hiragino Sans"/>
          <w:b w:val="0"/>
          <w:i w:val="0"/>
        </w:rPr>
        <w:t>End</w:t>
      </w:r>
    </w:p>
    <w:p>
      <w:pPr>
        <w:pStyle w:val="ListBullet"/>
        <w:ind w:left="240"/>
      </w:pPr>
      <w:r>
        <w:rPr>
          <w:rFonts w:eastAsia="Hiragino Sans" w:ascii="Hiragino Sans" w:hAnsi="Hiragino Sans"/>
          <w:b w:val="0"/>
          <w:sz w:val="20"/>
        </w:rPr>
        <w:t>Of the matters for which the measures for electronic provision are taken, the matters prescribed in each item of Article 95-4, Paragraph 1 of the Regulation for Enforcement of the Companies Act (the sections "Matters concerning shares of the Company," "Matters concerning share acquisition rights, etc. of the Company" and "Systems to ensure the appropriateness of business activities and the status of their operation" in the Business Report; the Consolidated Statement of Changes in Equity and the Notes to the Consolidated Financial Statements; and the Non-consolidated Statement of Changes in Equity and the Notes to the Non-consolidated Financial Statements) are not included in the paper documents delivered to shareholders who have requested delivery of paper documents, pursuant to Article 16 of the Company's Articles of Incorporation. Accordingly, the documents delivered are part of the documents audited by the Audit &amp; Supervisory Board and the Accounting Auditor in preparing their audit reports.</w:t>
      </w:r>
    </w:p>
    <w:p>
      <w:pPr>
        <w:pStyle w:val="ListBullet"/>
        <w:ind w:left="240"/>
      </w:pPr>
      <w:r>
        <w:rPr>
          <w:rFonts w:eastAsia="Hiragino Sans" w:ascii="Hiragino Sans" w:hAnsi="Hiragino Sans"/>
          <w:b w:val="0"/>
          <w:sz w:val="20"/>
        </w:rPr>
        <w:t>Should the information contained in the Reference Documents for the General Meeting of Shareholders and other materials require revisions, the fact of the revision, the matters before revision and the matters after revision will be posted on the Company's website and the website of the Tokyo Stock Exchange above.</w:t>
      </w:r>
    </w:p>
    <w:p>
      <w:pPr>
        <w:pStyle w:val="ListBullet"/>
        <w:ind w:left="240"/>
      </w:pPr>
      <w:r>
        <w:rPr>
          <w:rFonts w:eastAsia="Hiragino Sans" w:ascii="Hiragino Sans" w:hAnsi="Hiragino Sans"/>
          <w:b w:val="0"/>
          <w:sz w:val="20"/>
        </w:rPr>
        <w:t>When attending the meeting, please submit the enclosed Voting Rights Exercise Form at the reception desk.</w:t>
      </w:r>
    </w:p>
    <w:p>
      <w:pPr>
        <w:ind w:left="120"/>
        <w:shd w:val="clear" w:fill="F3F4F6"/>
        <w:pBdr>
          <w:left w:val="single" w:sz="18" w:space="6" w:color="24406B"/>
        </w:pBdr>
      </w:pPr>
      <w:r>
        <w:rPr>
          <w:rFonts w:eastAsia="Hiragino Sans" w:ascii="Hiragino Sans" w:hAnsi="Hiragino Sans"/>
          <w:b w:val="0"/>
          <w:i/>
          <w:color w:val="444444"/>
          <w:sz w:val="18"/>
        </w:rPr>
        <w:t>チェック観点（日本語）: 会社法第298条第1項各号（日時・場所・目的事項・書面/電磁的方法による議決権行使の可否）と第325条の4第2項（電子提供措置をとっている旨・ウェブサイトのアドレス）の訳出漏れ。書面交付請求株主に交付しない事項（施行規則第95条の4）の英訳は、東証訳の経団連ひな型が用いる "materials for which the measures for electronic provision are taken"／"Matters Regarding Measures for Electronic Provision" の語法に揃える（"Listed Company Search" は東証サイトの公式英名、"Independent Officer"（独立役員）は JPX 公式訳では "Independent Director/Auditor"＝CG報告書英文版と要統一）。</w:t>
      </w:r>
    </w:p>
    <w:p>
      <w:pPr>
        <w:pStyle w:val="Heading2"/>
      </w:pPr>
      <w:r>
        <w:t>2. Guide to Exercising Voting Rights</w:t>
      </w:r>
    </w:p>
    <w:p>
      <w:pPr>
        <w:pStyle w:val="ListBullet"/>
        <w:ind w:left="240"/>
      </w:pPr>
      <w:r>
        <w:rPr>
          <w:rFonts w:eastAsia="Hiragino Sans" w:ascii="Hiragino Sans" w:hAnsi="Hiragino Sans"/>
          <w:b/>
          <w:sz w:val="20"/>
        </w:rPr>
        <w:t>Attending the meeting in person</w:t>
      </w:r>
      <w:r>
        <w:rPr>
          <w:rFonts w:eastAsia="Hiragino Sans" w:ascii="Hiragino Sans" w:hAnsi="Hiragino Sans"/>
          <w:b w:val="0"/>
          <w:sz w:val="20"/>
        </w:rPr>
        <w:t>: Please submit the enclosed Voting Rights Exercise Form at the reception desk. You may exercise your voting rights by proxy only in the case where the proxy is another shareholder with voting rights (Article 18 of the Articles of Incorporation). The proxy will be required to present written proof of their right of proxy (a power of attorney) together with the Voting Rights Exercise Form.</w:t>
      </w:r>
    </w:p>
    <w:p>
      <w:pPr>
        <w:pStyle w:val="ListBullet"/>
        <w:ind w:left="240"/>
      </w:pPr>
      <w:r>
        <w:rPr>
          <w:rFonts w:eastAsia="Hiragino Sans" w:ascii="Hiragino Sans" w:hAnsi="Hiragino Sans"/>
          <w:b/>
          <w:sz w:val="20"/>
        </w:rPr>
        <w:t>Exercising voting rights in writing (by post)</w:t>
      </w:r>
      <w:r>
        <w:rPr>
          <w:rFonts w:eastAsia="Hiragino Sans" w:ascii="Hiragino Sans" w:hAnsi="Hiragino Sans"/>
          <w:b w:val="0"/>
          <w:sz w:val="20"/>
        </w:rPr>
        <w:t>: Please indicate your vote for or against each proposal on the enclosed Voting Rights Exercise Form and return it so that it arrives by 5:30 p.m. on Tuesday, June 23, 2026. If no indication of approval or disapproval is made for a proposal, the vote will be treated as an approval.</w:t>
      </w:r>
    </w:p>
    <w:p>
      <w:pPr>
        <w:pStyle w:val="ListBullet"/>
        <w:ind w:left="240"/>
      </w:pPr>
      <w:r>
        <w:rPr>
          <w:rFonts w:eastAsia="Hiragino Sans" w:ascii="Hiragino Sans" w:hAnsi="Hiragino Sans"/>
          <w:b/>
          <w:sz w:val="20"/>
        </w:rPr>
        <w:t>Exercising voting rights via the Internet</w:t>
      </w:r>
      <w:r>
        <w:rPr>
          <w:rFonts w:eastAsia="Hiragino Sans" w:ascii="Hiragino Sans" w:hAnsi="Hiragino Sans"/>
          <w:b w:val="0"/>
          <w:sz w:val="20"/>
        </w:rPr>
        <w:t>: Please access the website designated by the Company for exercising voting rights (https://www.sample-agm.example/), enter the "login ID" and "temporary password" provided on the Voting Rights Exercise Form, and follow the instructions on the screen to indicate your approval or disapproval of the proposals by 5:30 p.m. on Tuesday, June 23, 2026. You may also log in by scanning the QR code printed on the Voting Rights Exercise Form with a smartphone, in which case the login ID and temporary password need not be entered.</w:t>
      </w:r>
    </w:p>
    <w:p>
      <w:pPr>
        <w:pStyle w:val="ListBullet"/>
        <w:ind w:left="240"/>
      </w:pPr>
      <w:r>
        <w:rPr>
          <w:rFonts w:eastAsia="Hiragino Sans" w:ascii="Hiragino Sans" w:hAnsi="Hiragino Sans"/>
          <w:b/>
          <w:sz w:val="20"/>
        </w:rPr>
        <w:t>Duplicate exercise of voting rights</w:t>
      </w:r>
      <w:r>
        <w:rPr>
          <w:rFonts w:eastAsia="Hiragino Sans" w:ascii="Hiragino Sans" w:hAnsi="Hiragino Sans"/>
          <w:b w:val="0"/>
          <w:sz w:val="20"/>
        </w:rPr>
        <w:t>: If voting rights are exercised both in writing and via the Internet, the vote via the Internet will be deemed valid. If voting rights are exercised more than once via the Internet, the last vote will be deemed valid.</w:t>
      </w:r>
    </w:p>
    <w:p>
      <w:pPr>
        <w:pStyle w:val="ListBullet"/>
        <w:ind w:left="240"/>
      </w:pPr>
      <w:r>
        <w:rPr>
          <w:rFonts w:eastAsia="Hiragino Sans" w:ascii="Hiragino Sans" w:hAnsi="Hiragino Sans"/>
          <w:b/>
          <w:sz w:val="20"/>
        </w:rPr>
        <w:t>Institutional investors</w:t>
      </w:r>
      <w:r>
        <w:rPr>
          <w:rFonts w:eastAsia="Hiragino Sans" w:ascii="Hiragino Sans" w:hAnsi="Hiragino Sans"/>
          <w:b w:val="0"/>
          <w:sz w:val="20"/>
        </w:rPr>
        <w:t>: Institutional investors may use the electronic voting platform for institutional investors operated by ICJ, Inc.</w:t>
      </w:r>
    </w:p>
    <w:p>
      <w:pPr>
        <w:ind w:left="120"/>
        <w:shd w:val="clear" w:fill="F3F4F6"/>
        <w:pBdr>
          <w:left w:val="single" w:sz="18" w:space="6" w:color="24406B"/>
        </w:pBdr>
      </w:pPr>
      <w:r>
        <w:rPr>
          <w:rFonts w:eastAsia="Hiragino Sans" w:ascii="Hiragino Sans" w:hAnsi="Hiragino Sans"/>
          <w:b w:val="0"/>
          <w:i/>
          <w:color w:val="444444"/>
          <w:sz w:val="18"/>
        </w:rPr>
        <w:t>チェック観点（日本語）: 議決権行使期限（総会日時の直前の営業時間の終了時が原則、施行規則第69条・第70条）、重複行使の取扱い、賛否無表示の取扱い（施行規則第63条第3号ロ・第4号ロ）を日本語版と同じ内容で訳す。"login ID / temporary password" は議決権行使書用紙の英語表記と一致させる。</w:t>
      </w:r>
    </w:p>
    <w:p>
      <w:pPr>
        <w:jc w:val="center"/>
      </w:pPr>
      <w:r>
        <w:t>────────────────────────────────────────</w:t>
      </w:r>
    </w:p>
    <w:p>
      <w:pPr>
        <w:pStyle w:val="Heading1"/>
      </w:pPr>
      <w:r>
        <w:t>Part 2 — Reference Documents for the General Meeting of Shareholders</w:t>
      </w:r>
    </w:p>
    <w:p>
      <w:pPr>
        <w:pStyle w:val="Heading2"/>
      </w:pPr>
      <w:r>
        <w:t>Proposals and References</w:t>
      </w:r>
    </w:p>
    <w:p>
      <w:pPr>
        <w:pStyle w:val="Heading3"/>
      </w:pPr>
      <w:r>
        <w:t>Proposal 1: Appropriation of Surplus</w:t>
      </w:r>
    </w:p>
    <w:p>
      <w:pPr>
        <w:spacing w:after="80"/>
      </w:pPr>
      <w:r>
        <w:rPr>
          <w:rFonts w:eastAsia="Hiragino Sans" w:ascii="Hiragino Sans" w:hAnsi="Hiragino Sans"/>
          <w:b w:val="0"/>
          <w:i w:val="0"/>
        </w:rPr>
        <w:t>The Company regards the return of profits to shareholders as an important management priority, and its basic policy is to pay stable and continuous dividends in line with business results, targeting a consolidated dividend payout ratio of 30% or higher. Internal reserves will be allocated to growth investments such as expansion of production capacity, research and development and digital transformation, as the Company strives to enhance corporate value.</w:t>
      </w:r>
    </w:p>
    <w:p>
      <w:pPr>
        <w:spacing w:after="80"/>
      </w:pPr>
      <w:r>
        <w:rPr>
          <w:rFonts w:eastAsia="Hiragino Sans" w:ascii="Hiragino Sans" w:hAnsi="Hiragino Sans"/>
          <w:b w:val="0"/>
          <w:i w:val="0"/>
        </w:rPr>
        <w:t>With respect to the year-end dividend for the fiscal year under review, the Company proposes the following, taking into consideration the above policy and the results for the fiscal year. Together with the interim dividend of ¥17 per share already paid, the annual dividend for the fiscal year will be ¥34 per share (consolidated dividend payout ratio of 31.5%).</w:t>
      </w:r>
    </w:p>
    <w:p>
      <w:pPr>
        <w:spacing w:after="80"/>
      </w:pPr>
      <w:r>
        <w:rPr>
          <w:rFonts w:eastAsia="Hiragino Sans" w:ascii="Hiragino Sans" w:hAnsi="Hiragino Sans"/>
          <w:b/>
          <w:i w:val="0"/>
        </w:rPr>
        <w:t>Matters concerning year-end dividends</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Item</w:t>
            </w:r>
          </w:p>
        </w:tc>
        <w:tc>
          <w:tcPr>
            <w:tcW w:type="dxa" w:w="4986"/>
            <w:shd w:val="clear" w:fill="24406B"/>
          </w:tcPr>
          <w:p>
            <w:r/>
            <w:r>
              <w:rPr>
                <w:rFonts w:eastAsia="Hiragino Sans" w:ascii="Hiragino Sans" w:hAnsi="Hiragino Sans"/>
                <w:b/>
                <w:color w:val="FFFFFF"/>
                <w:sz w:val="18"/>
              </w:rPr>
              <w:t>Description</w:t>
            </w:r>
          </w:p>
        </w:tc>
      </w:tr>
      <w:tr>
        <w:tc>
          <w:tcPr>
            <w:tcW w:type="dxa" w:w="4986"/>
          </w:tcPr>
          <w:p>
            <w:r/>
            <w:r>
              <w:rPr>
                <w:rFonts w:eastAsia="Hiragino Sans" w:ascii="Hiragino Sans" w:hAnsi="Hiragino Sans"/>
                <w:b w:val="0"/>
                <w:sz w:val="18"/>
              </w:rPr>
              <w:t>(1) Type of dividend property</w:t>
            </w:r>
          </w:p>
        </w:tc>
        <w:tc>
          <w:tcPr>
            <w:tcW w:type="dxa" w:w="4986"/>
          </w:tcPr>
          <w:p>
            <w:r/>
            <w:r>
              <w:rPr>
                <w:rFonts w:eastAsia="Hiragino Sans" w:ascii="Hiragino Sans" w:hAnsi="Hiragino Sans"/>
                <w:b w:val="0"/>
                <w:sz w:val="18"/>
              </w:rPr>
              <w:t>Cash</w:t>
            </w:r>
          </w:p>
        </w:tc>
      </w:tr>
      <w:tr>
        <w:tc>
          <w:tcPr>
            <w:tcW w:type="dxa" w:w="4986"/>
            <w:shd w:val="clear" w:fill="F7F8FA"/>
          </w:tcPr>
          <w:p>
            <w:r/>
            <w:r>
              <w:rPr>
                <w:rFonts w:eastAsia="Hiragino Sans" w:ascii="Hiragino Sans" w:hAnsi="Hiragino Sans"/>
                <w:b w:val="0"/>
                <w:sz w:val="18"/>
              </w:rPr>
              <w:t>(2) Allotment of dividend property to shareholders and the total amount</w:t>
            </w:r>
          </w:p>
        </w:tc>
        <w:tc>
          <w:tcPr>
            <w:tcW w:type="dxa" w:w="4986"/>
            <w:shd w:val="clear" w:fill="F7F8FA"/>
          </w:tcPr>
          <w:p>
            <w:r/>
            <w:r>
              <w:rPr>
                <w:rFonts w:eastAsia="Hiragino Sans" w:ascii="Hiragino Sans" w:hAnsi="Hiragino Sans"/>
                <w:b w:val="0"/>
                <w:sz w:val="18"/>
              </w:rPr>
              <w:t>¥17 per common share of the Company; total amount: ¥428,145,000</w:t>
            </w:r>
          </w:p>
        </w:tc>
      </w:tr>
      <w:tr>
        <w:tc>
          <w:tcPr>
            <w:tcW w:type="dxa" w:w="4986"/>
          </w:tcPr>
          <w:p>
            <w:r/>
            <w:r>
              <w:rPr>
                <w:rFonts w:eastAsia="Hiragino Sans" w:ascii="Hiragino Sans" w:hAnsi="Hiragino Sans"/>
                <w:b w:val="0"/>
                <w:sz w:val="18"/>
              </w:rPr>
              <w:t>(3) Effective date of dividends of surplus</w:t>
            </w:r>
          </w:p>
        </w:tc>
        <w:tc>
          <w:tcPr>
            <w:tcW w:type="dxa" w:w="4986"/>
          </w:tcPr>
          <w:p>
            <w:r/>
            <w:r>
              <w:rPr>
                <w:rFonts w:eastAsia="Hiragino Sans" w:ascii="Hiragino Sans" w:hAnsi="Hiragino Sans"/>
                <w:b w:val="0"/>
                <w:sz w:val="18"/>
              </w:rPr>
              <w:t>June 25, 2026</w:t>
            </w:r>
          </w:p>
        </w:tc>
      </w:tr>
    </w:tbl>
    <w:p>
      <w:pPr>
        <w:spacing w:after="40"/>
      </w:pPr>
    </w:p>
    <w:p>
      <w:pPr>
        <w:pStyle w:val="ListBullet"/>
        <w:ind w:left="240"/>
      </w:pPr>
      <w:r>
        <w:rPr>
          <w:rFonts w:eastAsia="Hiragino Sans" w:ascii="Hiragino Sans" w:hAnsi="Hiragino Sans"/>
          <w:b w:val="0"/>
          <w:sz w:val="20"/>
        </w:rPr>
        <w:t>(Note) The total amount of dividends is calculated based on 25,185,000 shares, being the total number of issued shares of 26,000,000 as of March 31, 2026 less 815,000 treasury shares.</w:t>
      </w:r>
    </w:p>
    <w:p>
      <w:pPr>
        <w:ind w:left="120"/>
        <w:shd w:val="clear" w:fill="F3F4F6"/>
        <w:pBdr>
          <w:left w:val="single" w:sz="18" w:space="6" w:color="24406B"/>
        </w:pBdr>
      </w:pPr>
      <w:r>
        <w:rPr>
          <w:rFonts w:eastAsia="Hiragino Sans" w:ascii="Hiragino Sans" w:hAnsi="Hiragino Sans"/>
          <w:b w:val="0"/>
          <w:i/>
          <w:color w:val="444444"/>
          <w:sz w:val="18"/>
        </w:rPr>
        <w:t>チェック観点（日本語）: 配当総額（¥428,145,000。適時開示・決算短信は百万円単位の ¥428 million）・効力発生日（June 25, 2026）・算定基礎（25,185,000株）は日本語版・決算短信（英文）・期末配当の適時開示（英文）と整合。剰余金の処分議案の英訳は "Appropriation of Surplus"（Keidanren 訳例）で統一する。</w:t>
      </w:r>
    </w:p>
    <w:p>
      <w:pPr>
        <w:pStyle w:val="Heading3"/>
      </w:pPr>
      <w:r>
        <w:t>Proposal 2: Election of Seven Directors</w:t>
      </w:r>
    </w:p>
    <w:p>
      <w:pPr>
        <w:spacing w:after="80"/>
      </w:pPr>
      <w:r>
        <w:rPr>
          <w:rFonts w:eastAsia="Hiragino Sans" w:ascii="Hiragino Sans" w:hAnsi="Hiragino Sans"/>
          <w:b w:val="0"/>
          <w:i w:val="0"/>
        </w:rPr>
        <w:t>The terms of office of all seven Directors will expire at the conclusion of this Annual General Meeting of Shareholders. Accordingly, the Company proposes the election of seven Directors.</w:t>
      </w:r>
    </w:p>
    <w:p>
      <w:pPr>
        <w:spacing w:after="80"/>
      </w:pPr>
      <w:r>
        <w:rPr>
          <w:rFonts w:eastAsia="Hiragino Sans" w:ascii="Hiragino Sans" w:hAnsi="Hiragino Sans"/>
          <w:b w:val="0"/>
          <w:i w:val="0"/>
        </w:rPr>
        <w:t>The candidates for Director were determined by the Board of Directors based on the recommendation of the Nomination and Remuneration Advisory Committee, a majority of whose members are Independent Outside Directors. The candidates are as follows:</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Candidate No.</w:t>
            </w:r>
          </w:p>
        </w:tc>
        <w:tc>
          <w:tcPr>
            <w:tcW w:type="dxa" w:w="1994"/>
            <w:shd w:val="clear" w:fill="24406B"/>
          </w:tcPr>
          <w:p>
            <w:r/>
            <w:r>
              <w:rPr>
                <w:rFonts w:eastAsia="Hiragino Sans" w:ascii="Hiragino Sans" w:hAnsi="Hiragino Sans"/>
                <w:b/>
                <w:color w:val="FFFFFF"/>
                <w:sz w:val="18"/>
              </w:rPr>
              <w:t>Name (Date of birth)</w:t>
            </w:r>
          </w:p>
        </w:tc>
        <w:tc>
          <w:tcPr>
            <w:tcW w:type="dxa" w:w="1994"/>
            <w:shd w:val="clear" w:fill="24406B"/>
          </w:tcPr>
          <w:p>
            <w:r/>
            <w:r>
              <w:rPr>
                <w:rFonts w:eastAsia="Hiragino Sans" w:ascii="Hiragino Sans" w:hAnsi="Hiragino Sans"/>
                <w:b/>
                <w:color w:val="FFFFFF"/>
                <w:sz w:val="18"/>
              </w:rPr>
              <w:t>Career summary, positions, responsibilities and significant concurrent positions</w:t>
            </w:r>
          </w:p>
        </w:tc>
        <w:tc>
          <w:tcPr>
            <w:tcW w:type="dxa" w:w="1994"/>
            <w:shd w:val="clear" w:fill="24406B"/>
          </w:tcPr>
          <w:p>
            <w:r/>
            <w:r>
              <w:rPr>
                <w:rFonts w:eastAsia="Hiragino Sans" w:ascii="Hiragino Sans" w:hAnsi="Hiragino Sans"/>
                <w:b/>
                <w:color w:val="FFFFFF"/>
                <w:sz w:val="18"/>
              </w:rPr>
              <w:t>Number of shares of the Company held (thousand shares)</w:t>
            </w:r>
          </w:p>
        </w:tc>
        <w:tc>
          <w:tcPr>
            <w:tcW w:type="dxa" w:w="1994"/>
            <w:shd w:val="clear" w:fill="24406B"/>
          </w:tcPr>
          <w:p>
            <w:r/>
            <w:r>
              <w:rPr>
                <w:rFonts w:eastAsia="Hiragino Sans" w:ascii="Hiragino Sans" w:hAnsi="Hiragino Sans"/>
                <w:b/>
                <w:color w:val="FFFFFF"/>
                <w:sz w:val="18"/>
              </w:rPr>
              <w:t>Category</w:t>
            </w:r>
          </w:p>
        </w:tc>
      </w:tr>
      <w:tr>
        <w:tc>
          <w:tcPr>
            <w:tcW w:type="dxa" w:w="1994"/>
          </w:tcPr>
          <w:p>
            <w:r/>
            <w:r>
              <w:rPr>
                <w:rFonts w:eastAsia="Hiragino Sans" w:ascii="Hiragino Sans" w:hAnsi="Hiragino Sans"/>
                <w:b w:val="0"/>
                <w:sz w:val="18"/>
              </w:rPr>
              <w:t>1</w:t>
            </w:r>
          </w:p>
        </w:tc>
        <w:tc>
          <w:tcPr>
            <w:tcW w:type="dxa" w:w="1994"/>
          </w:tcPr>
          <w:p>
            <w:r/>
            <w:r>
              <w:rPr>
                <w:rFonts w:eastAsia="Hiragino Sans" w:ascii="Hiragino Sans" w:hAnsi="Hiragino Sans"/>
                <w:b w:val="0"/>
                <w:sz w:val="18"/>
              </w:rPr>
              <w:t>Seiichiro Fujikawa (April 2, 1965)</w:t>
            </w:r>
          </w:p>
        </w:tc>
        <w:tc>
          <w:tcPr>
            <w:tcW w:type="dxa" w:w="1994"/>
          </w:tcPr>
          <w:p>
            <w:r/>
            <w:r>
              <w:rPr>
                <w:rFonts w:eastAsia="Hiragino Sans" w:ascii="Hiragino Sans" w:hAnsi="Hiragino Sans"/>
                <w:b w:val="0"/>
                <w:sz w:val="18"/>
              </w:rPr>
              <w:t>June 1998: Founded the Company; President and Representative Director (current position). Representative Director of Fujikawa Kosan Co., Ltd.</w:t>
            </w:r>
          </w:p>
        </w:tc>
        <w:tc>
          <w:tcPr>
            <w:tcW w:type="dxa" w:w="1994"/>
          </w:tcPr>
          <w:p>
            <w:r/>
            <w:r>
              <w:rPr>
                <w:rFonts w:eastAsia="Hiragino Sans" w:ascii="Hiragino Sans" w:hAnsi="Hiragino Sans"/>
                <w:b w:val="0"/>
                <w:sz w:val="18"/>
              </w:rPr>
              <w:t>905</w:t>
            </w:r>
          </w:p>
        </w:tc>
        <w:tc>
          <w:tcPr>
            <w:tcW w:type="dxa" w:w="1994"/>
          </w:tcPr>
          <w:p>
            <w:r/>
            <w:r>
              <w:rPr>
                <w:rFonts w:eastAsia="Hiragino Sans" w:ascii="Hiragino Sans" w:hAnsi="Hiragino Sans"/>
                <w:b w:val="0"/>
                <w:sz w:val="18"/>
              </w:rPr>
              <w:t>Reappointment</w:t>
            </w:r>
          </w:p>
        </w:tc>
      </w:tr>
      <w:tr>
        <w:tc>
          <w:tcPr>
            <w:tcW w:type="dxa" w:w="1994"/>
            <w:shd w:val="clear" w:fill="F7F8FA"/>
          </w:tcPr>
          <w:p>
            <w:r/>
            <w:r>
              <w:rPr>
                <w:rFonts w:eastAsia="Hiragino Sans" w:ascii="Hiragino Sans" w:hAnsi="Hiragino Sans"/>
                <w:b w:val="0"/>
                <w:sz w:val="18"/>
              </w:rPr>
              <w:t>2</w:t>
            </w:r>
          </w:p>
        </w:tc>
        <w:tc>
          <w:tcPr>
            <w:tcW w:type="dxa" w:w="1994"/>
            <w:shd w:val="clear" w:fill="F7F8FA"/>
          </w:tcPr>
          <w:p>
            <w:r/>
            <w:r>
              <w:rPr>
                <w:rFonts w:eastAsia="Hiragino Sans" w:ascii="Hiragino Sans" w:hAnsi="Hiragino Sans"/>
                <w:b w:val="0"/>
                <w:sz w:val="18"/>
              </w:rPr>
              <w:t>Takayuki Murase (September 15, 1963)</w:t>
            </w:r>
          </w:p>
        </w:tc>
        <w:tc>
          <w:tcPr>
            <w:tcW w:type="dxa" w:w="1994"/>
            <w:shd w:val="clear" w:fill="F7F8FA"/>
          </w:tcPr>
          <w:p>
            <w:r/>
            <w:r>
              <w:rPr>
                <w:rFonts w:eastAsia="Hiragino Sans" w:ascii="Hiragino Sans" w:hAnsi="Hiragino Sans"/>
                <w:b w:val="0"/>
                <w:sz w:val="18"/>
              </w:rPr>
              <w:t>April 1999: Joined the Company; General Manager of Suwa Plant; June 2015: Director (current position); Director and Senior Managing Executive Officer, General Manager of Production Division. Director (part-time) of Sample Seiki Co., Ltd.</w:t>
            </w:r>
          </w:p>
        </w:tc>
        <w:tc>
          <w:tcPr>
            <w:tcW w:type="dxa" w:w="1994"/>
            <w:shd w:val="clear" w:fill="F7F8FA"/>
          </w:tcPr>
          <w:p>
            <w:r/>
            <w:r>
              <w:rPr>
                <w:rFonts w:eastAsia="Hiragino Sans" w:ascii="Hiragino Sans" w:hAnsi="Hiragino Sans"/>
                <w:b w:val="0"/>
                <w:sz w:val="18"/>
              </w:rPr>
              <w:t>45</w:t>
            </w:r>
          </w:p>
        </w:tc>
        <w:tc>
          <w:tcPr>
            <w:tcW w:type="dxa" w:w="1994"/>
            <w:shd w:val="clear" w:fill="F7F8FA"/>
          </w:tcPr>
          <w:p>
            <w:r/>
            <w:r>
              <w:rPr>
                <w:rFonts w:eastAsia="Hiragino Sans" w:ascii="Hiragino Sans" w:hAnsi="Hiragino Sans"/>
                <w:b w:val="0"/>
                <w:sz w:val="18"/>
              </w:rPr>
              <w:t>Reappointment</w:t>
            </w:r>
          </w:p>
        </w:tc>
      </w:tr>
      <w:tr>
        <w:tc>
          <w:tcPr>
            <w:tcW w:type="dxa" w:w="1994"/>
          </w:tcPr>
          <w:p>
            <w:r/>
            <w:r>
              <w:rPr>
                <w:rFonts w:eastAsia="Hiragino Sans" w:ascii="Hiragino Sans" w:hAnsi="Hiragino Sans"/>
                <w:b w:val="0"/>
                <w:sz w:val="18"/>
              </w:rPr>
              <w:t>3</w:t>
            </w:r>
          </w:p>
        </w:tc>
        <w:tc>
          <w:tcPr>
            <w:tcW w:type="dxa" w:w="1994"/>
          </w:tcPr>
          <w:p>
            <w:r/>
            <w:r>
              <w:rPr>
                <w:rFonts w:eastAsia="Hiragino Sans" w:ascii="Hiragino Sans" w:hAnsi="Hiragino Sans"/>
                <w:b w:val="0"/>
                <w:sz w:val="18"/>
              </w:rPr>
              <w:t>Ryo Onishi (January 23, 1968)</w:t>
            </w:r>
          </w:p>
        </w:tc>
        <w:tc>
          <w:tcPr>
            <w:tcW w:type="dxa" w:w="1994"/>
          </w:tcPr>
          <w:p>
            <w:r/>
            <w:r>
              <w:rPr>
                <w:rFonts w:eastAsia="Hiragino Sans" w:ascii="Hiragino Sans" w:hAnsi="Hiragino Sans"/>
                <w:b w:val="0"/>
                <w:sz w:val="18"/>
              </w:rPr>
              <w:t>April 2001: Joined the Company; General Manager of Tokyo Branch; June 2018: Director (current position); Director and Managing Executive Officer, General Manager of Sales Division. Director (part-time) of Sample America, Inc.</w:t>
            </w:r>
          </w:p>
        </w:tc>
        <w:tc>
          <w:tcPr>
            <w:tcW w:type="dxa" w:w="1994"/>
          </w:tcPr>
          <w:p>
            <w:r/>
            <w:r>
              <w:rPr>
                <w:rFonts w:eastAsia="Hiragino Sans" w:ascii="Hiragino Sans" w:hAnsi="Hiragino Sans"/>
                <w:b w:val="0"/>
                <w:sz w:val="18"/>
              </w:rPr>
              <w:t>28</w:t>
            </w:r>
          </w:p>
        </w:tc>
        <w:tc>
          <w:tcPr>
            <w:tcW w:type="dxa" w:w="1994"/>
          </w:tcPr>
          <w:p>
            <w:r/>
            <w:r>
              <w:rPr>
                <w:rFonts w:eastAsia="Hiragino Sans" w:ascii="Hiragino Sans" w:hAnsi="Hiragino Sans"/>
                <w:b w:val="0"/>
                <w:sz w:val="18"/>
              </w:rPr>
              <w:t>Reappointment</w:t>
            </w:r>
          </w:p>
        </w:tc>
      </w:tr>
      <w:tr>
        <w:tc>
          <w:tcPr>
            <w:tcW w:type="dxa" w:w="1994"/>
            <w:shd w:val="clear" w:fill="F7F8FA"/>
          </w:tcPr>
          <w:p>
            <w:r/>
            <w:r>
              <w:rPr>
                <w:rFonts w:eastAsia="Hiragino Sans" w:ascii="Hiragino Sans" w:hAnsi="Hiragino Sans"/>
                <w:b w:val="0"/>
                <w:sz w:val="18"/>
              </w:rPr>
              <w:t>4</w:t>
            </w:r>
          </w:p>
        </w:tc>
        <w:tc>
          <w:tcPr>
            <w:tcW w:type="dxa" w:w="1994"/>
            <w:shd w:val="clear" w:fill="F7F8FA"/>
          </w:tcPr>
          <w:p>
            <w:r/>
            <w:r>
              <w:rPr>
                <w:rFonts w:eastAsia="Hiragino Sans" w:ascii="Hiragino Sans" w:hAnsi="Hiragino Sans"/>
                <w:b w:val="0"/>
                <w:sz w:val="18"/>
              </w:rPr>
              <w:t>Misaki Takatsu (July 30, 1975)</w:t>
            </w:r>
          </w:p>
        </w:tc>
        <w:tc>
          <w:tcPr>
            <w:tcW w:type="dxa" w:w="1994"/>
            <w:shd w:val="clear" w:fill="F7F8FA"/>
          </w:tcPr>
          <w:p>
            <w:r/>
            <w:r>
              <w:rPr>
                <w:rFonts w:eastAsia="Hiragino Sans" w:ascii="Hiragino Sans" w:hAnsi="Hiragino Sans"/>
                <w:b w:val="0"/>
                <w:sz w:val="18"/>
              </w:rPr>
              <w:t>April 2003: Joined a major bank; October 2016: Joined the Company as General Manager of Accounting Department; June 2022: Director (current position); Director and Executive Officer, General Manager of Corporate Administration Division (CFO). Director (part-time) of Sample Logistics Co., Ltd.</w:t>
            </w:r>
          </w:p>
        </w:tc>
        <w:tc>
          <w:tcPr>
            <w:tcW w:type="dxa" w:w="1994"/>
            <w:shd w:val="clear" w:fill="F7F8FA"/>
          </w:tcPr>
          <w:p>
            <w:r/>
            <w:r>
              <w:rPr>
                <w:rFonts w:eastAsia="Hiragino Sans" w:ascii="Hiragino Sans" w:hAnsi="Hiragino Sans"/>
                <w:b w:val="0"/>
                <w:sz w:val="18"/>
              </w:rPr>
              <w:t>12</w:t>
            </w:r>
          </w:p>
        </w:tc>
        <w:tc>
          <w:tcPr>
            <w:tcW w:type="dxa" w:w="1994"/>
            <w:shd w:val="clear" w:fill="F7F8FA"/>
          </w:tcPr>
          <w:p>
            <w:r/>
            <w:r>
              <w:rPr>
                <w:rFonts w:eastAsia="Hiragino Sans" w:ascii="Hiragino Sans" w:hAnsi="Hiragino Sans"/>
                <w:b w:val="0"/>
                <w:sz w:val="18"/>
              </w:rPr>
              <w:t>Reappointment</w:t>
            </w:r>
          </w:p>
        </w:tc>
      </w:tr>
      <w:tr>
        <w:tc>
          <w:tcPr>
            <w:tcW w:type="dxa" w:w="1994"/>
          </w:tcPr>
          <w:p>
            <w:r/>
            <w:r>
              <w:rPr>
                <w:rFonts w:eastAsia="Hiragino Sans" w:ascii="Hiragino Sans" w:hAnsi="Hiragino Sans"/>
                <w:b w:val="0"/>
                <w:sz w:val="18"/>
              </w:rPr>
              <w:t>5</w:t>
            </w:r>
          </w:p>
        </w:tc>
        <w:tc>
          <w:tcPr>
            <w:tcW w:type="dxa" w:w="1994"/>
          </w:tcPr>
          <w:p>
            <w:r/>
            <w:r>
              <w:rPr>
                <w:rFonts w:eastAsia="Hiragino Sans" w:ascii="Hiragino Sans" w:hAnsi="Hiragino Sans"/>
                <w:b w:val="0"/>
                <w:sz w:val="18"/>
              </w:rPr>
              <w:t>Masakazu Kashiwagi (November 5, 1958)</w:t>
            </w:r>
          </w:p>
        </w:tc>
        <w:tc>
          <w:tcPr>
            <w:tcW w:type="dxa" w:w="1994"/>
          </w:tcPr>
          <w:p>
            <w:r/>
            <w:r>
              <w:rPr>
                <w:rFonts w:eastAsia="Hiragino Sans" w:ascii="Hiragino Sans" w:hAnsi="Hiragino Sans"/>
                <w:b w:val="0"/>
                <w:sz w:val="18"/>
              </w:rPr>
              <w:t>Served as Director and Managing Executive Officer of a major electrical equipment manufacturer; June 2020: Outside Director of the Company (current position). Chair of the Nomination and Remuneration Advisory Committee</w:t>
            </w:r>
          </w:p>
        </w:tc>
        <w:tc>
          <w:tcPr>
            <w:tcW w:type="dxa" w:w="1994"/>
          </w:tcPr>
          <w:p>
            <w:r/>
            <w:r>
              <w:rPr>
                <w:rFonts w:eastAsia="Hiragino Sans" w:ascii="Hiragino Sans" w:hAnsi="Hiragino Sans"/>
                <w:b w:val="0"/>
                <w:sz w:val="18"/>
              </w:rPr>
              <w:t>3</w:t>
            </w:r>
          </w:p>
        </w:tc>
        <w:tc>
          <w:tcPr>
            <w:tcW w:type="dxa" w:w="1994"/>
          </w:tcPr>
          <w:p>
            <w:r/>
            <w:r>
              <w:rPr>
                <w:rFonts w:eastAsia="Hiragino Sans" w:ascii="Hiragino Sans" w:hAnsi="Hiragino Sans"/>
                <w:b w:val="0"/>
                <w:sz w:val="18"/>
              </w:rPr>
              <w:t>Reappointment / Outside / Independent Director</w:t>
            </w:r>
          </w:p>
        </w:tc>
      </w:tr>
      <w:tr>
        <w:tc>
          <w:tcPr>
            <w:tcW w:type="dxa" w:w="1994"/>
            <w:shd w:val="clear" w:fill="F7F8FA"/>
          </w:tcPr>
          <w:p>
            <w:r/>
            <w:r>
              <w:rPr>
                <w:rFonts w:eastAsia="Hiragino Sans" w:ascii="Hiragino Sans" w:hAnsi="Hiragino Sans"/>
                <w:b w:val="0"/>
                <w:sz w:val="18"/>
              </w:rPr>
              <w:t>6</w:t>
            </w:r>
          </w:p>
        </w:tc>
        <w:tc>
          <w:tcPr>
            <w:tcW w:type="dxa" w:w="1994"/>
            <w:shd w:val="clear" w:fill="F7F8FA"/>
          </w:tcPr>
          <w:p>
            <w:r/>
            <w:r>
              <w:rPr>
                <w:rFonts w:eastAsia="Hiragino Sans" w:ascii="Hiragino Sans" w:hAnsi="Hiragino Sans"/>
                <w:b w:val="0"/>
                <w:sz w:val="18"/>
              </w:rPr>
              <w:t>Yukiko Ihara (February 14, 1970)</w:t>
            </w:r>
          </w:p>
        </w:tc>
        <w:tc>
          <w:tcPr>
            <w:tcW w:type="dxa" w:w="1994"/>
            <w:shd w:val="clear" w:fill="F7F8FA"/>
          </w:tcPr>
          <w:p>
            <w:r/>
            <w:r>
              <w:rPr>
                <w:rFonts w:eastAsia="Hiragino Sans" w:ascii="Hiragino Sans" w:hAnsi="Hiragino Sans"/>
                <w:b w:val="0"/>
                <w:sz w:val="18"/>
              </w:rPr>
              <w:t>1998: Registered as attorney-at-law; Head of Ihara Law Office (current position); June 2021: Outside Director of the Company (current position)</w:t>
            </w:r>
          </w:p>
        </w:tc>
        <w:tc>
          <w:tcPr>
            <w:tcW w:type="dxa" w:w="1994"/>
            <w:shd w:val="clear" w:fill="F7F8FA"/>
          </w:tcPr>
          <w:p>
            <w:r/>
            <w:r>
              <w:rPr>
                <w:rFonts w:eastAsia="Hiragino Sans" w:ascii="Hiragino Sans" w:hAnsi="Hiragino Sans"/>
                <w:b w:val="0"/>
                <w:sz w:val="18"/>
              </w:rPr>
              <w:t>–</w:t>
            </w:r>
          </w:p>
        </w:tc>
        <w:tc>
          <w:tcPr>
            <w:tcW w:type="dxa" w:w="1994"/>
            <w:shd w:val="clear" w:fill="F7F8FA"/>
          </w:tcPr>
          <w:p>
            <w:r/>
            <w:r>
              <w:rPr>
                <w:rFonts w:eastAsia="Hiragino Sans" w:ascii="Hiragino Sans" w:hAnsi="Hiragino Sans"/>
                <w:b w:val="0"/>
                <w:sz w:val="18"/>
              </w:rPr>
              <w:t>Reappointment / Outside / Independent Director</w:t>
            </w:r>
          </w:p>
        </w:tc>
      </w:tr>
      <w:tr>
        <w:tc>
          <w:tcPr>
            <w:tcW w:type="dxa" w:w="1994"/>
          </w:tcPr>
          <w:p>
            <w:r/>
            <w:r>
              <w:rPr>
                <w:rFonts w:eastAsia="Hiragino Sans" w:ascii="Hiragino Sans" w:hAnsi="Hiragino Sans"/>
                <w:b w:val="0"/>
                <w:sz w:val="18"/>
              </w:rPr>
              <w:t>7</w:t>
            </w:r>
          </w:p>
        </w:tc>
        <w:tc>
          <w:tcPr>
            <w:tcW w:type="dxa" w:w="1994"/>
          </w:tcPr>
          <w:p>
            <w:r/>
            <w:r>
              <w:rPr>
                <w:rFonts w:eastAsia="Hiragino Sans" w:ascii="Hiragino Sans" w:hAnsi="Hiragino Sans"/>
                <w:b w:val="0"/>
                <w:sz w:val="18"/>
              </w:rPr>
              <w:t>Eisuke Miyake (June 8, 1966)</w:t>
            </w:r>
          </w:p>
        </w:tc>
        <w:tc>
          <w:tcPr>
            <w:tcW w:type="dxa" w:w="1994"/>
          </w:tcPr>
          <w:p>
            <w:r/>
            <w:r>
              <w:rPr>
                <w:rFonts w:eastAsia="Hiragino Sans" w:ascii="Hiragino Sans" w:hAnsi="Hiragino Sans"/>
                <w:b w:val="0"/>
                <w:sz w:val="18"/>
              </w:rPr>
              <w:t>1992: Registered as certified public accountant; Head of Miyake CPA Office (current position); June 2023: Outside Director of the Company (current position)</w:t>
            </w:r>
          </w:p>
        </w:tc>
        <w:tc>
          <w:tcPr>
            <w:tcW w:type="dxa" w:w="1994"/>
          </w:tcPr>
          <w:p>
            <w:r/>
            <w:r>
              <w:rPr>
                <w:rFonts w:eastAsia="Hiragino Sans" w:ascii="Hiragino Sans" w:hAnsi="Hiragino Sans"/>
                <w:b w:val="0"/>
                <w:sz w:val="18"/>
              </w:rPr>
              <w:t>1</w:t>
            </w:r>
          </w:p>
        </w:tc>
        <w:tc>
          <w:tcPr>
            <w:tcW w:type="dxa" w:w="1994"/>
          </w:tcPr>
          <w:p>
            <w:r/>
            <w:r>
              <w:rPr>
                <w:rFonts w:eastAsia="Hiragino Sans" w:ascii="Hiragino Sans" w:hAnsi="Hiragino Sans"/>
                <w:b w:val="0"/>
                <w:sz w:val="18"/>
              </w:rPr>
              <w:t>Reappointment / Outside / Independent Director</w:t>
            </w:r>
          </w:p>
        </w:tc>
      </w:tr>
    </w:tbl>
    <w:p>
      <w:pPr>
        <w:spacing w:after="40"/>
      </w:pPr>
    </w:p>
    <w:p>
      <w:pPr>
        <w:spacing w:after="80"/>
      </w:pPr>
      <w:r>
        <w:rPr>
          <w:rFonts w:eastAsia="Hiragino Sans" w:ascii="Hiragino Sans" w:hAnsi="Hiragino Sans"/>
          <w:b/>
          <w:i w:val="0"/>
        </w:rPr>
        <w:t>Reasons for nomination as candidates for Director (excerpt)</w:t>
      </w:r>
    </w:p>
    <w:p>
      <w:pPr>
        <w:pStyle w:val="ListBullet"/>
        <w:ind w:left="240"/>
      </w:pPr>
      <w:r>
        <w:rPr>
          <w:rFonts w:eastAsia="Hiragino Sans" w:ascii="Hiragino Sans" w:hAnsi="Hiragino Sans"/>
          <w:b/>
          <w:sz w:val="20"/>
        </w:rPr>
        <w:t>Seiichiro Fujikawa</w:t>
      </w:r>
      <w:r>
        <w:rPr>
          <w:rFonts w:eastAsia="Hiragino Sans" w:ascii="Hiragino Sans" w:hAnsi="Hiragino Sans"/>
          <w:b w:val="0"/>
          <w:sz w:val="20"/>
        </w:rPr>
        <w:t>: He has led the management of the Company since its founding and built the business foundation centered on precision machining technology. The Company has nominated him as a candidate for Director again, judging that he is indispensable to the execution of the medium-term management plan "Sample Vision 2028."</w:t>
      </w:r>
    </w:p>
    <w:p>
      <w:pPr>
        <w:pStyle w:val="ListBullet"/>
        <w:ind w:left="240"/>
      </w:pPr>
      <w:r>
        <w:rPr>
          <w:rFonts w:eastAsia="Hiragino Sans" w:ascii="Hiragino Sans" w:hAnsi="Hiragino Sans"/>
          <w:b/>
          <w:sz w:val="20"/>
        </w:rPr>
        <w:t>Takayuki Murase / Ryo Onishi / Misaki Takatsu</w:t>
      </w:r>
      <w:r>
        <w:rPr>
          <w:rFonts w:eastAsia="Hiragino Sans" w:ascii="Hiragino Sans" w:hAnsi="Hiragino Sans"/>
          <w:b w:val="0"/>
          <w:sz w:val="20"/>
        </w:rPr>
        <w:t>: Each has extensive business experience and a proven track record in the fields of production, sales and corporate administration (finance and accounting), respectively, and the Company has judged them to be suitable as Executive Directors.</w:t>
      </w:r>
    </w:p>
    <w:p>
      <w:pPr>
        <w:pStyle w:val="ListBullet"/>
        <w:ind w:left="240"/>
      </w:pPr>
      <w:r>
        <w:rPr>
          <w:rFonts w:eastAsia="Hiragino Sans" w:ascii="Hiragino Sans" w:hAnsi="Hiragino Sans"/>
          <w:b/>
          <w:sz w:val="20"/>
        </w:rPr>
        <w:t>Masakazu Kashiwagi (candidate for Outside Director)</w:t>
      </w:r>
      <w:r>
        <w:rPr>
          <w:rFonts w:eastAsia="Hiragino Sans" w:ascii="Hiragino Sans" w:hAnsi="Hiragino Sans"/>
          <w:b w:val="0"/>
          <w:sz w:val="20"/>
        </w:rPr>
        <w:t>: The Company has nominated him as a candidate for Outside Director again so that his extensive experience as a manager of a major electrical equipment manufacturer and his deep insight into production systems and capital investment can be utilized in the supervision of the Company's management. His tenure as Outside Director will be six years at the conclusion of this meeting.</w:t>
      </w:r>
    </w:p>
    <w:p>
      <w:pPr>
        <w:pStyle w:val="ListBullet"/>
        <w:ind w:left="240"/>
      </w:pPr>
      <w:r>
        <w:rPr>
          <w:rFonts w:eastAsia="Hiragino Sans" w:ascii="Hiragino Sans" w:hAnsi="Hiragino Sans"/>
          <w:b/>
          <w:sz w:val="20"/>
        </w:rPr>
        <w:t>Yukiko Ihara (candidate for Outside Director)</w:t>
      </w:r>
      <w:r>
        <w:rPr>
          <w:rFonts w:eastAsia="Hiragino Sans" w:ascii="Hiragino Sans" w:hAnsi="Hiragino Sans"/>
          <w:b w:val="0"/>
          <w:sz w:val="20"/>
        </w:rPr>
        <w:t>: The Company has nominated her as a candidate for Outside Director again so that her professional knowledge as an attorney-at-law can be utilized in the supervision of the operation of the compliance system and the internal whistleblowing system. Her tenure will be five years at the conclusion of this meeting.</w:t>
      </w:r>
    </w:p>
    <w:p>
      <w:pPr>
        <w:pStyle w:val="ListBullet"/>
        <w:ind w:left="240"/>
      </w:pPr>
      <w:r>
        <w:rPr>
          <w:rFonts w:eastAsia="Hiragino Sans" w:ascii="Hiragino Sans" w:hAnsi="Hiragino Sans"/>
          <w:b/>
          <w:sz w:val="20"/>
        </w:rPr>
        <w:t>Eisuke Miyake (candidate for Outside Director)</w:t>
      </w:r>
      <w:r>
        <w:rPr>
          <w:rFonts w:eastAsia="Hiragino Sans" w:ascii="Hiragino Sans" w:hAnsi="Hiragino Sans"/>
          <w:b w:val="0"/>
          <w:sz w:val="20"/>
        </w:rPr>
        <w:t>: The Company has nominated him as a candidate for Outside Director again so that his high level of expertise in finance and accounting as a certified public accountant can be utilized in the supervision of the application of accounting standards and the appropriateness of disclosure. His tenure will be three years at the conclusion of this meeting.</w:t>
      </w:r>
    </w:p>
    <w:p>
      <w:pPr>
        <w:spacing w:after="80"/>
      </w:pPr>
      <w:r>
        <w:rPr>
          <w:rFonts w:eastAsia="Hiragino Sans" w:ascii="Hiragino Sans" w:hAnsi="Hiragino Sans"/>
          <w:b/>
          <w:i w:val="0"/>
        </w:rPr>
        <w:t>Special notes on the candidates for Outside Director</w:t>
      </w:r>
    </w:p>
    <w:p>
      <w:pPr>
        <w:pStyle w:val="ListBullet"/>
        <w:ind w:left="240"/>
      </w:pPr>
      <w:r>
        <w:rPr>
          <w:rFonts w:eastAsia="Hiragino Sans" w:ascii="Hiragino Sans" w:hAnsi="Hiragino Sans"/>
          <w:b w:val="0"/>
          <w:sz w:val="20"/>
        </w:rPr>
        <w:t>Masakazu Kashiwagi, Yukiko Ihara and Eisuke Miyake are candidates for Outside Director. Each of them satisfies the "Criteria for Independence of Outside Officers" established by the Company and has been registered with the Tokyo Stock Exchange as an independent officer (independent director) as prescribed by the Exchange. There are no personal, capital, business or other interests between the Company and the organizations at which they hold significant concurrent positions.</w:t>
      </w:r>
    </w:p>
    <w:p>
      <w:pPr>
        <w:pStyle w:val="ListBullet"/>
        <w:ind w:left="240"/>
      </w:pPr>
      <w:r>
        <w:rPr>
          <w:rFonts w:eastAsia="Hiragino Sans" w:ascii="Hiragino Sans" w:hAnsi="Hiragino Sans"/>
          <w:b w:val="0"/>
          <w:sz w:val="20"/>
        </w:rPr>
        <w:t>Yukiko Ihara and Eisuke Miyake have never been involved in corporate management other than by serving as an Outside Director or Outside Audit &amp; Supervisory Board Member; however, the Company has judged that they will be able to appropriately perform their duties as Outside Directors for the reasons stated above.</w:t>
      </w:r>
    </w:p>
    <w:p>
      <w:pPr>
        <w:pStyle w:val="ListBullet"/>
        <w:ind w:left="240"/>
      </w:pPr>
      <w:r>
        <w:rPr>
          <w:rFonts w:eastAsia="Hiragino Sans" w:ascii="Hiragino Sans" w:hAnsi="Hiragino Sans"/>
          <w:b w:val="0"/>
          <w:sz w:val="20"/>
        </w:rPr>
        <w:t>The Company has entered into a liability limitation agreement with each candidate for Outside Director pursuant to Article 427, Paragraph 1 of the Companies Act, limiting their liability for damages under Article 423, Paragraph 1 of the Companies Act to the minimum liability amount prescribed in Article 425, Paragraph 1 of the Companies Act, provided that they act in good faith and without gross negligence in performing their duties. If their reappointment is approved, the Company plans to continue these agreements.</w:t>
      </w:r>
    </w:p>
    <w:p>
      <w:pPr>
        <w:pStyle w:val="ListBullet"/>
        <w:ind w:left="240"/>
      </w:pPr>
      <w:r>
        <w:rPr>
          <w:rFonts w:eastAsia="Hiragino Sans" w:ascii="Hiragino Sans" w:hAnsi="Hiragino Sans"/>
          <w:b w:val="0"/>
          <w:sz w:val="20"/>
        </w:rPr>
        <w:t>The Company has entered into an indemnity agreement with each candidate under Article 430-2, Paragraph 1 of the Companies Act, and plans to continue these agreements if their reappointment is approved. An outline of the agreements is as stated in the Business Report under "Liability limitation agreements, indemnity agreements and directors and officers liability insurance agreements."</w:t>
      </w:r>
    </w:p>
    <w:p>
      <w:pPr>
        <w:pStyle w:val="ListBullet"/>
        <w:ind w:left="240"/>
      </w:pPr>
      <w:r>
        <w:rPr>
          <w:rFonts w:eastAsia="Hiragino Sans" w:ascii="Hiragino Sans" w:hAnsi="Hiragino Sans"/>
          <w:b w:val="0"/>
          <w:sz w:val="20"/>
        </w:rPr>
        <w:t>The Company has entered into a directors and officers liability insurance agreement with an insurance company under Article 430-3, Paragraph 1 of the Companies Act, and each candidate is included as an insured person under the agreement; they will continue to be insured persons if their reappointment is approved. An outline of the insurance agreement is as stated in the Business Report, and the Company bears the full amount of the insurance premiums.</w:t>
      </w:r>
    </w:p>
    <w:p>
      <w:pPr>
        <w:pStyle w:val="ListBullet"/>
        <w:ind w:left="240"/>
      </w:pPr>
      <w:r>
        <w:rPr>
          <w:rFonts w:eastAsia="Hiragino Sans" w:ascii="Hiragino Sans" w:hAnsi="Hiragino Sans"/>
          <w:b w:val="0"/>
          <w:sz w:val="20"/>
        </w:rPr>
        <w:t>There are no special interests between any of the candidates and the Company.</w:t>
      </w:r>
    </w:p>
    <w:p>
      <w:pPr>
        <w:ind w:left="120"/>
        <w:shd w:val="clear" w:fill="F3F4F6"/>
        <w:pBdr>
          <w:left w:val="single" w:sz="18" w:space="6" w:color="24406B"/>
        </w:pBdr>
      </w:pPr>
      <w:r>
        <w:rPr>
          <w:rFonts w:eastAsia="Hiragino Sans" w:ascii="Hiragino Sans" w:hAnsi="Hiragino Sans"/>
          <w:b w:val="0"/>
          <w:i/>
          <w:color w:val="444444"/>
          <w:sz w:val="18"/>
        </w:rPr>
        <w:t>チェック観点（日本語）: 施行規則第74条の記載事項（氏名・生年月日・略歴・重要な兼職・所有株式数・特別の利害関係・責任限定契約・補償契約・役員等賠償責任保険契約）と同条第4項（社外取締役候補者の理由・在任年数・独立役員の届出）を訳出する。候補者名のローマ字表記は有価証券報告書（英文版）・CG報告書（英文版）と統一し、持株数（千株）は日本語版と一致させる。</w:t>
      </w:r>
    </w:p>
    <w:p>
      <w:pPr>
        <w:pStyle w:val="Heading3"/>
      </w:pPr>
      <w:r>
        <w:t>Proposal 3: Election of One Substitute Audit &amp; Supervisory Board Member</w:t>
      </w:r>
    </w:p>
    <w:p>
      <w:pPr>
        <w:spacing w:after="80"/>
      </w:pPr>
      <w:r>
        <w:rPr>
          <w:rFonts w:eastAsia="Hiragino Sans" w:ascii="Hiragino Sans" w:hAnsi="Hiragino Sans"/>
          <w:b w:val="0"/>
          <w:i w:val="0"/>
        </w:rPr>
        <w:t>To prepare for the event that the number of Audit &amp; Supervisory Board Members falls below the number required by laws and regulations, the Company proposes the election of one substitute Audit &amp; Supervisory Board Member in advance. The Company has obtained the consent of the Audit &amp; Supervisory Board for this proposal.</w:t>
      </w:r>
    </w:p>
    <w:p>
      <w:pPr>
        <w:spacing w:after="80"/>
      </w:pPr>
      <w:r>
        <w:rPr>
          <w:rFonts w:eastAsia="Hiragino Sans" w:ascii="Hiragino Sans" w:hAnsi="Hiragino Sans"/>
          <w:b w:val="0"/>
          <w:i w:val="0"/>
        </w:rPr>
        <w:t>The candidate is as follows:</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Name (Date of birth)</w:t>
            </w:r>
          </w:p>
        </w:tc>
        <w:tc>
          <w:tcPr>
            <w:tcW w:type="dxa" w:w="3324"/>
            <w:shd w:val="clear" w:fill="24406B"/>
          </w:tcPr>
          <w:p>
            <w:r/>
            <w:r>
              <w:rPr>
                <w:rFonts w:eastAsia="Hiragino Sans" w:ascii="Hiragino Sans" w:hAnsi="Hiragino Sans"/>
                <w:b/>
                <w:color w:val="FFFFFF"/>
                <w:sz w:val="18"/>
              </w:rPr>
              <w:t>Career summary, positions and significant concurrent positions</w:t>
            </w:r>
          </w:p>
        </w:tc>
        <w:tc>
          <w:tcPr>
            <w:tcW w:type="dxa" w:w="3324"/>
            <w:shd w:val="clear" w:fill="24406B"/>
          </w:tcPr>
          <w:p>
            <w:r/>
            <w:r>
              <w:rPr>
                <w:rFonts w:eastAsia="Hiragino Sans" w:ascii="Hiragino Sans" w:hAnsi="Hiragino Sans"/>
                <w:b/>
                <w:color w:val="FFFFFF"/>
                <w:sz w:val="18"/>
              </w:rPr>
              <w:t>Number of shares of the Company held (thousand shares)</w:t>
            </w:r>
          </w:p>
        </w:tc>
      </w:tr>
      <w:tr>
        <w:tc>
          <w:tcPr>
            <w:tcW w:type="dxa" w:w="3324"/>
          </w:tcPr>
          <w:p>
            <w:r/>
            <w:r>
              <w:rPr>
                <w:rFonts w:eastAsia="Hiragino Sans" w:ascii="Hiragino Sans" w:hAnsi="Hiragino Sans"/>
                <w:b w:val="0"/>
                <w:sz w:val="18"/>
              </w:rPr>
              <w:t>Takashi Onodera (May 20, 1968)</w:t>
            </w:r>
          </w:p>
        </w:tc>
        <w:tc>
          <w:tcPr>
            <w:tcW w:type="dxa" w:w="3324"/>
          </w:tcPr>
          <w:p>
            <w:r/>
            <w:r>
              <w:rPr>
                <w:rFonts w:eastAsia="Hiragino Sans" w:ascii="Hiragino Sans" w:hAnsi="Hiragino Sans"/>
                <w:b w:val="0"/>
                <w:sz w:val="18"/>
              </w:rPr>
              <w:t>1996: Registered as attorney-at-law; 2008: Established Onodera Law Office, Head (current position). Member of the Committee on Corporate Law Matters, Japan Federation of Bar Associations</w:t>
            </w:r>
          </w:p>
        </w:tc>
        <w:tc>
          <w:tcPr>
            <w:tcW w:type="dxa" w:w="3324"/>
          </w:tcPr>
          <w:p>
            <w:r/>
            <w:r>
              <w:rPr>
                <w:rFonts w:eastAsia="Hiragino Sans" w:ascii="Hiragino Sans" w:hAnsi="Hiragino Sans"/>
                <w:b w:val="0"/>
                <w:sz w:val="18"/>
              </w:rPr>
              <w:t>–</w:t>
            </w:r>
          </w:p>
        </w:tc>
      </w:tr>
    </w:tbl>
    <w:p>
      <w:pPr>
        <w:spacing w:after="40"/>
      </w:pPr>
    </w:p>
    <w:p>
      <w:pPr>
        <w:pStyle w:val="ListBullet"/>
        <w:ind w:left="240"/>
      </w:pPr>
      <w:r>
        <w:rPr>
          <w:rFonts w:eastAsia="Hiragino Sans" w:ascii="Hiragino Sans" w:hAnsi="Hiragino Sans"/>
          <w:b w:val="0"/>
          <w:sz w:val="20"/>
        </w:rPr>
        <w:t>Takashi Onodera is a candidate for substitute Outside Audit &amp; Supervisory Board Member. The Company has nominated him as a candidate judging that, with his professional knowledge as an attorney-at-law, he will contribute to strengthening the Company's audit system if he assumes the office of Audit &amp; Supervisory Board Member. He satisfies the "Criteria for Independence of Outside Officers" established by the Company, and the Company plans to register him with the Tokyo Stock Exchange as an independent officer (independent auditor) as prescribed by the Exchange if he assumes the office.</w:t>
      </w:r>
    </w:p>
    <w:p>
      <w:pPr>
        <w:pStyle w:val="ListBullet"/>
        <w:ind w:left="240"/>
      </w:pPr>
      <w:r>
        <w:rPr>
          <w:rFonts w:eastAsia="Hiragino Sans" w:ascii="Hiragino Sans" w:hAnsi="Hiragino Sans"/>
          <w:b w:val="0"/>
          <w:sz w:val="20"/>
        </w:rPr>
        <w:t>He has never been involved in corporate management other than by serving as an Outside Director or Outside Audit &amp; Supervisory Board Member; however, the Company has judged that he will be able to appropriately perform his duties as an Outside Audit &amp; Supervisory Board Member for the reason stated above.</w:t>
      </w:r>
    </w:p>
    <w:p>
      <w:pPr>
        <w:pStyle w:val="ListBullet"/>
        <w:ind w:left="240"/>
      </w:pPr>
      <w:r>
        <w:rPr>
          <w:rFonts w:eastAsia="Hiragino Sans" w:ascii="Hiragino Sans" w:hAnsi="Hiragino Sans"/>
          <w:b w:val="0"/>
          <w:sz w:val="20"/>
        </w:rPr>
        <w:t>If he assumes the office of Audit &amp; Supervisory Board Member, the Company plans to enter into a liability limitation agreement with him pursuant to Article 427, Paragraph 1 of the Companies Act and an indemnity agreement under Article 430-2, Paragraph 1 of the Companies Act, and he will be included as an insured person under the directors and officers liability insurance agreement.</w:t>
      </w:r>
    </w:p>
    <w:p>
      <w:pPr>
        <w:pStyle w:val="ListBullet"/>
        <w:ind w:left="240"/>
      </w:pPr>
      <w:r>
        <w:rPr>
          <w:rFonts w:eastAsia="Hiragino Sans" w:ascii="Hiragino Sans" w:hAnsi="Hiragino Sans"/>
          <w:b w:val="0"/>
          <w:sz w:val="20"/>
        </w:rPr>
        <w:t>The election under this proposal shall be effective from the time this proposal is approved as proposed until the commencement of the next Annual General Meeting of Shareholders (Article 96, Paragraph 3 of the Regulation for Enforcement of the Companies Act). While the resolution for the election of the substitute Audit &amp; Supervisory Board Member remains effective, the election may be canceled by a resolution of the Board of Directors with the consent of the Audit &amp; Supervisory Board (as stated pursuant to Paragraph 2, Item 6 of the same Article).</w:t>
      </w:r>
    </w:p>
    <w:p>
      <w:pPr>
        <w:pStyle w:val="ListBullet"/>
        <w:ind w:left="240"/>
      </w:pPr>
      <w:r>
        <w:rPr>
          <w:rFonts w:eastAsia="Hiragino Sans" w:ascii="Hiragino Sans" w:hAnsi="Hiragino Sans"/>
          <w:b w:val="0"/>
          <w:sz w:val="20"/>
        </w:rPr>
        <w:t>There are no special interests between the candidate and the Company.</w:t>
      </w:r>
    </w:p>
    <w:p>
      <w:pPr>
        <w:ind w:left="120"/>
        <w:shd w:val="clear" w:fill="F3F4F6"/>
        <w:pBdr>
          <w:left w:val="single" w:sz="18" w:space="6" w:color="24406B"/>
        </w:pBdr>
      </w:pPr>
      <w:r>
        <w:rPr>
          <w:rFonts w:eastAsia="Hiragino Sans" w:ascii="Hiragino Sans" w:hAnsi="Hiragino Sans"/>
          <w:b w:val="0"/>
          <w:i/>
          <w:color w:val="444444"/>
          <w:sz w:val="18"/>
        </w:rPr>
        <w:t>チェック観点（日本語）: 会社法第329条第3項・施行規則第96条（補欠役員：補欠である旨・対象区分・効力期間・取消し）と第343条（監査役会の同意）を訳出する。"substitute Audit &amp; Supervisory Board Member" は Keidanren 訳例の用語。</w:t>
      </w:r>
    </w:p>
    <w:p>
      <w:pPr>
        <w:jc w:val="center"/>
      </w:pPr>
      <w:r>
        <w:t>────────────────────────────────────────</w:t>
      </w:r>
    </w:p>
    <w:p>
      <w:pPr>
        <w:pStyle w:val="Heading1"/>
      </w:pPr>
      <w:r>
        <w:t>Part 3 — Other Information Concerning the Annual General Meeting of Shareholders</w:t>
      </w:r>
    </w:p>
    <w:p>
      <w:pPr>
        <w:pStyle w:val="ListBullet"/>
        <w:ind w:left="240"/>
      </w:pPr>
      <w:r>
        <w:rPr>
          <w:rFonts w:eastAsia="Hiragino Sans" w:ascii="Hiragino Sans" w:hAnsi="Hiragino Sans"/>
          <w:b/>
          <w:sz w:val="20"/>
        </w:rPr>
        <w:t>Electronic provision of materials for the General Meeting of Shareholders</w:t>
      </w:r>
      <w:r>
        <w:rPr>
          <w:rFonts w:eastAsia="Hiragino Sans" w:ascii="Hiragino Sans" w:hAnsi="Hiragino Sans"/>
          <w:b w:val="0"/>
          <w:sz w:val="20"/>
        </w:rPr>
        <w:t>: The Company takes measures for electronic provision of materials for the General Meeting of Shareholders pursuant to Article 325-2 of the Companies Act. Shareholders who have not requested delivery of paper documents receive only this convocation notice in accordance with laws and regulations. Shareholders who wish to receive paper documents stating the matters subject to measures for electronic provision are requested to submit a request for delivery of paper documents to the shareholder registry administrator (Stock Transfer Agency Department, Sample Trust Bank, Limited) by the record date (March 31 of each year).</w:t>
      </w:r>
    </w:p>
    <w:p>
      <w:pPr>
        <w:pStyle w:val="ListBullet"/>
        <w:ind w:left="240"/>
      </w:pPr>
      <w:r>
        <w:rPr>
          <w:rFonts w:eastAsia="Hiragino Sans" w:ascii="Hiragino Sans" w:hAnsi="Hiragino Sans"/>
          <w:b/>
          <w:sz w:val="20"/>
        </w:rPr>
        <w:t>On the day of the meeting</w:t>
      </w:r>
      <w:r>
        <w:rPr>
          <w:rFonts w:eastAsia="Hiragino Sans" w:ascii="Hiragino Sans" w:hAnsi="Hiragino Sans"/>
          <w:b w:val="0"/>
          <w:sz w:val="20"/>
        </w:rPr>
        <w:t>: The meeting will be held at the Company's Head Office and will not be streamed live over the Internet. A summary of the proceedings and the results of the resolutions will be posted on the Company's website after the meeting, and the results of the exercise of voting rights will be filed with the Director-General of the Kanto Local Finance Bureau as an extraordinary report (Article 24-5, Paragraph 4 of the Financial Instruments and Exchange Act; Article 19, Paragraph 2, Item 9-2 of the Cabinet Office Order on Disclosure of Corporate Affairs).</w:t>
      </w:r>
    </w:p>
    <w:p>
      <w:pPr>
        <w:pStyle w:val="ListBullet"/>
        <w:ind w:left="240"/>
      </w:pPr>
      <w:r>
        <w:rPr>
          <w:rFonts w:eastAsia="Hiragino Sans" w:ascii="Hiragino Sans" w:hAnsi="Hiragino Sans"/>
          <w:b/>
          <w:sz w:val="20"/>
        </w:rPr>
        <w:t>Gifts</w:t>
      </w:r>
      <w:r>
        <w:rPr>
          <w:rFonts w:eastAsia="Hiragino Sans" w:ascii="Hiragino Sans" w:hAnsi="Hiragino Sans"/>
          <w:b w:val="0"/>
          <w:sz w:val="20"/>
        </w:rPr>
        <w:t>: No gifts will be provided to shareholders attending the meeting, in the interest of fairness to all shareholders.</w:t>
      </w:r>
    </w:p>
    <w:p>
      <w:pPr>
        <w:ind w:left="120"/>
        <w:shd w:val="clear" w:fill="F3F4F6"/>
        <w:pBdr>
          <w:left w:val="single" w:sz="18" w:space="6" w:color="24406B"/>
        </w:pBdr>
      </w:pPr>
      <w:r>
        <w:rPr>
          <w:rFonts w:eastAsia="Hiragino Sans" w:ascii="Hiragino Sans" w:hAnsi="Hiragino Sans"/>
          <w:b w:val="0"/>
          <w:i/>
          <w:color w:val="444444"/>
          <w:sz w:val="18"/>
        </w:rPr>
        <w:t>チェック観点（日本語）: 英訳版に固有の追加情報（英語での問い合わせ窓口・英語版の掲載場所）を載せる場合は、日本語版の電子提供措置事項に無い情報を加えないよう注意する（英訳版は参考訳）。臨時報告書（議決権行使結果）の英訳は "extraordinary report" で統一する。</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Notice of the 28th Annual General Meeting of Shareholders — English Translation (fictitious sample)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