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80"/>
      </w:pPr>
      <w:r>
        <w:rPr>
          <w:rFonts w:ascii="Yu Gothic" w:cs="Yu Gothic" w:eastAsia="Yu Gothic" w:hAnsi="Yu Gothic"/>
          <w:b/>
          <w:bCs/>
          <w:color w:val="C0392B"/>
          <w:sz w:val="20"/>
          <w:szCs w:val="20"/>
        </w:rPr>
        <w:t xml:space="preserve">連結決算 ／ CONSOLIDATION PACKAGE</w:t>
      </w:r>
    </w:p>
    <w:p>
      <w:pPr>
        <w:spacing w:after="40"/>
      </w:pPr>
      <w:r>
        <w:rPr>
          <w:rFonts w:ascii="Yu Gothic" w:cs="Yu Gothic" w:eastAsia="Yu Gothic" w:hAnsi="Yu Gothic"/>
          <w:b/>
          <w:bCs/>
          <w:color w:val="24406B"/>
          <w:sz w:val="40"/>
          <w:szCs w:val="40"/>
        </w:rPr>
        <w:t xml:space="preserve">サンプルソフトウェア株式会社</w:t>
      </w:r>
    </w:p>
    <w:p>
      <w:pPr>
        <w:spacing w:after="60"/>
      </w:pPr>
      <w:r>
        <w:rPr>
          <w:rFonts w:ascii="Yu Gothic" w:cs="Yu Gothic" w:eastAsia="Yu Gothic" w:hAnsi="Yu Gothic"/>
          <w:b w:val="false"/>
          <w:bCs w:val="false"/>
          <w:sz w:val="22"/>
          <w:szCs w:val="22"/>
        </w:rPr>
        <w:t xml:space="preserve">対象期間：2026年3月期</w:t>
      </w:r>
    </w:p>
    <w:p>
      <w:pPr>
        <w:spacing w:after="60"/>
      </w:pPr>
      <w:r>
        <w:rPr>
          <w:rFonts w:ascii="Yu Gothic" w:cs="Yu Gothic" w:eastAsia="Yu Gothic" w:hAnsi="Yu Gothic"/>
          <w:b w:val="false"/>
          <w:bCs w:val="false"/>
          <w:color w:val="6B7280"/>
          <w:sz w:val="20"/>
          <w:szCs w:val="20"/>
        </w:rPr>
        <w:t xml:space="preserve">連結子会社 1社 ／ 持分法適用会社 1社</w:t>
      </w:r>
    </w:p>
    <w:p>
      <w:pPr>
        <w:pBdr>
          <w:left w:val="single" w:color="24406B" w:sz="18" w:space="8"/>
        </w:pBdr>
        <w:shd w:fill="F3F4F6" w:color="auto" w:val="clear"/>
        <w:spacing w:after="120" w:before="60"/>
      </w:pPr>
      <w:r>
        <w:rPr>
          <w:rFonts w:ascii="Yu Gothic" w:cs="Yu Gothic" w:eastAsia="Yu Gothic" w:hAnsi="Yu Gothic"/>
          <w:color w:val="444444"/>
          <w:sz w:val="16"/>
          <w:szCs w:val="16"/>
        </w:rPr>
        <w:t xml:space="preserve">本内容は一般的な情報提供であり、個別の判断については専門家にご相談ください。（※文面は弁護士確認前のドラフト）</w:t>
      </w:r>
    </w:p>
    <w:p>
      <w:pPr>
        <w:pBdr>
          <w:left w:val="single" w:color="24406B" w:sz="18" w:space="8"/>
        </w:pBdr>
        <w:shd w:fill="F3F4F6" w:color="auto" w:val="clear"/>
        <w:spacing w:after="120" w:before="60"/>
      </w:pPr>
      <w:r>
        <w:rPr>
          <w:rFonts w:ascii="Yu Gothic" w:cs="Yu Gothic" w:eastAsia="Yu Gothic" w:hAnsi="Yu Gothic"/>
          <w:color w:val="444444"/>
          <w:sz w:val="16"/>
          <w:szCs w:val="16"/>
        </w:rPr>
        <w:t xml:space="preserve">連結の会計処理のみを扱い、税務（申告・納税に関する事項）は本パッケージの対象外です。税務は税理士にご相談ください。</w:t>
      </w:r>
    </w:p>
    <w:p>
      <w:pPr>
        <w:pBdr>
          <w:left w:val="single" w:color="24406B" w:sz="18" w:space="8"/>
        </w:pBdr>
        <w:shd w:fill="F3F4F6" w:color="auto" w:val="clear"/>
        <w:spacing w:after="120" w:before="60"/>
      </w:pPr>
      <w:r>
        <w:rPr>
          <w:rFonts w:ascii="Yu Gothic" w:cs="Yu Gothic" w:eastAsia="Yu Gothic" w:hAnsi="Yu Gothic"/>
          <w:color w:val="444444"/>
          <w:sz w:val="16"/>
          <w:szCs w:val="16"/>
        </w:rPr>
        <w:t xml:space="preserve">未実現損益消去等の連結修正に対する繰延税金の計上は本パッケージに含まれていません（税理士確認事項）。連結の会計処理のみを扱います。</w:t>
      </w:r>
    </w:p>
    <w:p>
      <w:pPr>
        <w:pBdr>
          <w:left w:val="single" w:color="24406B" w:sz="18" w:space="8"/>
        </w:pBdr>
        <w:shd w:fill="F3F4F6" w:color="auto" w:val="clear"/>
        <w:spacing w:after="120" w:before="60"/>
      </w:pPr>
      <w:r>
        <w:rPr>
          <w:rFonts w:ascii="Yu Gothic" w:cs="Yu Gothic" w:eastAsia="Yu Gothic" w:hAnsi="Yu Gothic"/>
          <w:color w:val="444444"/>
          <w:sz w:val="16"/>
          <w:szCs w:val="16"/>
        </w:rPr>
        <w:t xml:space="preserve">被監査クライアントへの連結決算支援の提供は、自己レビューの脅威となり得ます（倫理規則）。保証業務と併存する案件ではお受けできない場合があります。最終判断は会計士ご自身に委ねられます。</w:t>
      </w:r>
    </w:p>
    <w:p>
      <w:pPr>
        <w:pBdr>
          <w:left w:val="single" w:color="24406B" w:sz="18" w:space="8"/>
        </w:pBdr>
        <w:shd w:fill="F3F4F6" w:color="auto" w:val="clear"/>
        <w:spacing w:after="120" w:before="60"/>
      </w:pPr>
      <w:r>
        <w:rPr>
          <w:rFonts w:ascii="Yu Gothic" w:cs="Yu Gothic" w:eastAsia="Yu Gothic" w:hAnsi="Yu Gothic"/>
          <w:color w:val="444444"/>
          <w:sz w:val="16"/>
          <w:szCs w:val="16"/>
        </w:rPr>
        <w:t xml:space="preserve">本書の金額は決定論エンジン（コード計算）が算定したものであり、生成AIによる計算は含みません（cons-engine/1.0.0）。各修正仕訳には算定根拠（入力／算式／結果）を併記しています。</w:t>
      </w:r>
    </w:p>
    <w:p>
      <w:r>
        <w:br w:type="page"/>
      </w:r>
    </w:p>
    <w:p>
      <w:pPr>
        <w:pStyle w:val="Heading1"/>
        <w:spacing w:after="90" w:before="240"/>
      </w:pPr>
      <w:r>
        <w:rPr>
          <w:rFonts w:ascii="Yu Gothic" w:cs="Yu Gothic" w:eastAsia="Yu Gothic" w:hAnsi="Yu Gothic"/>
          <w:b/>
          <w:bCs/>
          <w:color w:val="24406B"/>
        </w:rPr>
        <w:t xml:space="preserve">グループの構成</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tblGrid>
      <w:tr>
        <w:trPr>
          <w:tblHeader/>
        </w:trPr>
        <w:tc>
          <w:tcPr>
            <w:tcW w:type="pct" w:w="2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会社</w:t>
            </w:r>
          </w:p>
        </w:tc>
        <w:tc>
          <w:tcPr>
            <w:tcW w:type="pct" w:w="18%"/>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区分</w:t>
            </w:r>
          </w:p>
        </w:tc>
        <w:tc>
          <w:tcPr>
            <w:tcW w:type="pct" w:w="12%"/>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持分比率</w:t>
            </w:r>
          </w:p>
        </w:tc>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投資簿価</w:t>
            </w:r>
          </w:p>
        </w:tc>
        <w:tc>
          <w:tcPr>
            <w:tcW w:type="pct" w:w="28%"/>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備考</w:t>
            </w:r>
          </w:p>
        </w:tc>
      </w:tr>
      <w:tr>
        <w:tc>
          <w:tcPr>
            <w:tcW w:type="pct" w:w="26%"/>
            <w:tcMar>
              <w:top w:type="dxa" w:w="30"/>
              <w:left w:type="dxa" w:w="60"/>
              <w:bottom w:type="dxa" w:w="30"/>
              <w:right w:type="dxa" w:w="60"/>
            </w:tcMar>
          </w:tcPr>
          <w:p>
            <w:r>
              <w:rPr>
                <w:rFonts w:ascii="Yu Gothic" w:cs="Yu Gothic" w:eastAsia="Yu Gothic" w:hAnsi="Yu Gothic"/>
                <w:b w:val="false"/>
                <w:bCs w:val="false"/>
                <w:sz w:val="15"/>
                <w:szCs w:val="15"/>
              </w:rPr>
              <w:t xml:space="preserve">サンプルソフトウェア株式会社</w:t>
            </w:r>
          </w:p>
        </w:tc>
        <w:tc>
          <w:tcPr>
            <w:tcW w:type="pct" w:w="18%"/>
            <w:tcMar>
              <w:top w:type="dxa" w:w="30"/>
              <w:left w:type="dxa" w:w="60"/>
              <w:bottom w:type="dxa" w:w="30"/>
              <w:right w:type="dxa" w:w="60"/>
            </w:tcMar>
          </w:tcPr>
          <w:p>
            <w:r>
              <w:rPr>
                <w:rFonts w:ascii="Yu Gothic" w:cs="Yu Gothic" w:eastAsia="Yu Gothic" w:hAnsi="Yu Gothic"/>
                <w:b w:val="false"/>
                <w:bCs w:val="false"/>
                <w:sz w:val="15"/>
                <w:szCs w:val="15"/>
              </w:rPr>
              <w:t xml:space="preserve">親会社</w:t>
            </w:r>
          </w:p>
        </w:tc>
        <w:tc>
          <w:tcPr>
            <w:tcW w:type="pct" w:w="12%"/>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w:t>
            </w:r>
          </w:p>
        </w:tc>
        <w:tc>
          <w:tcPr>
            <w:tcW w:type="pct" w:w="16%"/>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w:t>
            </w:r>
          </w:p>
        </w:tc>
        <w:tc>
          <w:tcPr>
            <w:tcW w:type="pct" w:w="28%"/>
            <w:tcMar>
              <w:top w:type="dxa" w:w="30"/>
              <w:left w:type="dxa" w:w="60"/>
              <w:bottom w:type="dxa" w:w="30"/>
              <w:right w:type="dxa" w:w="60"/>
            </w:tcMar>
          </w:tcPr>
          <w:p>
            <w:r>
              <w:rPr>
                <w:rFonts w:ascii="Yu Gothic" w:cs="Yu Gothic" w:eastAsia="Yu Gothic" w:hAnsi="Yu Gothic"/>
                <w:b w:val="false"/>
                <w:bCs w:val="false"/>
                <w:sz w:val="15"/>
                <w:szCs w:val="15"/>
              </w:rPr>
              <w:t xml:space="preserve">連結の起点</w:t>
            </w:r>
          </w:p>
        </w:tc>
      </w:tr>
      <w:tr>
        <w:tc>
          <w:tcPr>
            <w:tcW w:type="pct" w:w="2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サンプル開発株式会社</w:t>
            </w:r>
          </w:p>
        </w:tc>
        <w:tc>
          <w:tcPr>
            <w:tcW w:type="pct" w:w="1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連結子会社</w:t>
            </w:r>
          </w:p>
        </w:tc>
        <w:tc>
          <w:tcPr>
            <w:tcW w:type="pct" w:w="12%"/>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100%</w:t>
            </w:r>
          </w:p>
        </w:tc>
        <w:tc>
          <w:tcPr>
            <w:tcW w:type="pct" w:w="16%"/>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420,000,000</w:t>
            </w:r>
          </w:p>
        </w:tc>
        <w:tc>
          <w:tcPr>
            <w:tcW w:type="pct" w:w="2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のれん償却 10年／取得後 5年</w:t>
            </w:r>
          </w:p>
        </w:tc>
      </w:tr>
      <w:tr>
        <w:tc>
          <w:tcPr>
            <w:tcW w:type="pct" w:w="26%"/>
            <w:tcMar>
              <w:top w:type="dxa" w:w="30"/>
              <w:left w:type="dxa" w:w="60"/>
              <w:bottom w:type="dxa" w:w="30"/>
              <w:right w:type="dxa" w:w="60"/>
            </w:tcMar>
          </w:tcPr>
          <w:p>
            <w:r>
              <w:rPr>
                <w:rFonts w:ascii="Yu Gothic" w:cs="Yu Gothic" w:eastAsia="Yu Gothic" w:hAnsi="Yu Gothic"/>
                <w:b w:val="false"/>
                <w:bCs w:val="false"/>
                <w:sz w:val="15"/>
                <w:szCs w:val="15"/>
              </w:rPr>
              <w:t xml:space="preserve">サンプルデータ株式会社</w:t>
            </w:r>
          </w:p>
        </w:tc>
        <w:tc>
          <w:tcPr>
            <w:tcW w:type="pct" w:w="18%"/>
            <w:tcMar>
              <w:top w:type="dxa" w:w="30"/>
              <w:left w:type="dxa" w:w="60"/>
              <w:bottom w:type="dxa" w:w="30"/>
              <w:right w:type="dxa" w:w="60"/>
            </w:tcMar>
          </w:tcPr>
          <w:p>
            <w:r>
              <w:rPr>
                <w:rFonts w:ascii="Yu Gothic" w:cs="Yu Gothic" w:eastAsia="Yu Gothic" w:hAnsi="Yu Gothic"/>
                <w:b w:val="false"/>
                <w:bCs w:val="false"/>
                <w:sz w:val="15"/>
                <w:szCs w:val="15"/>
              </w:rPr>
              <w:t xml:space="preserve">持分法適用会社</w:t>
            </w:r>
          </w:p>
        </w:tc>
        <w:tc>
          <w:tcPr>
            <w:tcW w:type="pct" w:w="12%"/>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20%</w:t>
            </w:r>
          </w:p>
        </w:tc>
        <w:tc>
          <w:tcPr>
            <w:tcW w:type="pct" w:w="16%"/>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180,000,000</w:t>
            </w:r>
          </w:p>
        </w:tc>
        <w:tc>
          <w:tcPr>
            <w:tcW w:type="pct" w:w="28%"/>
            <w:tcMar>
              <w:top w:type="dxa" w:w="30"/>
              <w:left w:type="dxa" w:w="60"/>
              <w:bottom w:type="dxa" w:w="30"/>
              <w:right w:type="dxa" w:w="60"/>
            </w:tcMar>
          </w:tcPr>
          <w:p>
            <w:r>
              <w:rPr>
                <w:rFonts w:ascii="Yu Gothic" w:cs="Yu Gothic" w:eastAsia="Yu Gothic" w:hAnsi="Yu Gothic"/>
                <w:b w:val="false"/>
                <w:bCs w:val="false"/>
                <w:sz w:val="15"/>
                <w:szCs w:val="15"/>
              </w:rPr>
              <w:t xml:space="preserve">個別財務諸表は合算しない</w:t>
            </w:r>
          </w:p>
        </w:tc>
      </w:tr>
    </w:tbl>
    <w:p>
      <w:pPr>
        <w:pStyle w:val="Heading1"/>
        <w:spacing w:after="90" w:before="240"/>
      </w:pPr>
      <w:r>
        <w:rPr>
          <w:rFonts w:ascii="Yu Gothic" w:cs="Yu Gothic" w:eastAsia="Yu Gothic" w:hAnsi="Yu Gothic"/>
          <w:b/>
          <w:bCs/>
          <w:color w:val="24406B"/>
        </w:rPr>
        <w:t xml:space="preserve">連結財務諸表の主要数値</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tblGrid>
      <w:tr>
        <w:trPr>
          <w:tblHeader/>
        </w:trPr>
        <w:tc>
          <w:tcPr>
            <w:tcW w:type="pct" w:w="6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項目</w:t>
            </w:r>
          </w:p>
        </w:tc>
        <w:tc>
          <w:tcPr>
            <w:tcW w:type="pct" w:w="4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金額（円）</w:t>
            </w:r>
          </w:p>
        </w:tc>
      </w:tr>
      <w:tr>
        <w:tc>
          <w:tcPr>
            <w:tcW w:type="pct" w:w="60%"/>
            <w:tcMar>
              <w:top w:type="dxa" w:w="30"/>
              <w:left w:type="dxa" w:w="60"/>
              <w:bottom w:type="dxa" w:w="30"/>
              <w:right w:type="dxa" w:w="60"/>
            </w:tcMar>
          </w:tcPr>
          <w:p>
            <w:r>
              <w:rPr>
                <w:rFonts w:ascii="Yu Gothic" w:cs="Yu Gothic" w:eastAsia="Yu Gothic" w:hAnsi="Yu Gothic"/>
                <w:b w:val="false"/>
                <w:bCs w:val="false"/>
                <w:sz w:val="15"/>
                <w:szCs w:val="15"/>
              </w:rPr>
              <w:t xml:space="preserve">資産合計</w:t>
            </w:r>
          </w:p>
        </w:tc>
        <w:tc>
          <w:tcPr>
            <w:tcW w:type="pct" w:w="4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4,422,000,000</w:t>
            </w:r>
          </w:p>
        </w:tc>
      </w:tr>
      <w:tr>
        <w:tc>
          <w:tcPr>
            <w:tcW w:type="pct" w:w="6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負債純資産合計</w:t>
            </w:r>
          </w:p>
        </w:tc>
        <w:tc>
          <w:tcPr>
            <w:tcW w:type="pct" w:w="4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4,422,000,000</w:t>
            </w:r>
          </w:p>
        </w:tc>
      </w:tr>
      <w:tr>
        <w:tc>
          <w:tcPr>
            <w:tcW w:type="pct" w:w="60%"/>
            <w:tcMar>
              <w:top w:type="dxa" w:w="30"/>
              <w:left w:type="dxa" w:w="60"/>
              <w:bottom w:type="dxa" w:w="30"/>
              <w:right w:type="dxa" w:w="60"/>
            </w:tcMar>
          </w:tcPr>
          <w:p>
            <w:r>
              <w:rPr>
                <w:rFonts w:ascii="Yu Gothic" w:cs="Yu Gothic" w:eastAsia="Yu Gothic" w:hAnsi="Yu Gothic"/>
                <w:b w:val="false"/>
                <w:bCs w:val="false"/>
                <w:sz w:val="15"/>
                <w:szCs w:val="15"/>
              </w:rPr>
              <w:t xml:space="preserve">のれん</w:t>
            </w:r>
          </w:p>
        </w:tc>
        <w:tc>
          <w:tcPr>
            <w:tcW w:type="pct" w:w="4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72,000,000</w:t>
            </w:r>
          </w:p>
        </w:tc>
      </w:tr>
      <w:tr>
        <w:tc>
          <w:tcPr>
            <w:tcW w:type="pct" w:w="6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非支配株主持分</w:t>
            </w:r>
          </w:p>
        </w:tc>
        <w:tc>
          <w:tcPr>
            <w:tcW w:type="pct" w:w="4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60%"/>
            <w:tcMar>
              <w:top w:type="dxa" w:w="30"/>
              <w:left w:type="dxa" w:w="60"/>
              <w:bottom w:type="dxa" w:w="30"/>
              <w:right w:type="dxa" w:w="60"/>
            </w:tcMar>
          </w:tcPr>
          <w:p>
            <w:r>
              <w:rPr>
                <w:rFonts w:ascii="Yu Gothic" w:cs="Yu Gothic" w:eastAsia="Yu Gothic" w:hAnsi="Yu Gothic"/>
                <w:b w:val="false"/>
                <w:bCs w:val="false"/>
                <w:sz w:val="15"/>
                <w:szCs w:val="15"/>
              </w:rPr>
              <w:t xml:space="preserve">利益剰余金</w:t>
            </w:r>
          </w:p>
        </w:tc>
        <w:tc>
          <w:tcPr>
            <w:tcW w:type="pct" w:w="4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1,702,000,000</w:t>
            </w:r>
          </w:p>
        </w:tc>
      </w:tr>
      <w:tr>
        <w:tc>
          <w:tcPr>
            <w:tcW w:type="pct" w:w="6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売上高</w:t>
            </w:r>
          </w:p>
        </w:tc>
        <w:tc>
          <w:tcPr>
            <w:tcW w:type="pct" w:w="4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6,060,000,000</w:t>
            </w:r>
          </w:p>
        </w:tc>
      </w:tr>
      <w:tr>
        <w:tc>
          <w:tcPr>
            <w:tcW w:type="pct" w:w="60%"/>
            <w:tcMar>
              <w:top w:type="dxa" w:w="30"/>
              <w:left w:type="dxa" w:w="60"/>
              <w:bottom w:type="dxa" w:w="30"/>
              <w:right w:type="dxa" w:w="60"/>
            </w:tcMar>
          </w:tcPr>
          <w:p>
            <w:r>
              <w:rPr>
                <w:rFonts w:ascii="Yu Gothic" w:cs="Yu Gothic" w:eastAsia="Yu Gothic" w:hAnsi="Yu Gothic"/>
                <w:b w:val="false"/>
                <w:bCs w:val="false"/>
                <w:sz w:val="15"/>
                <w:szCs w:val="15"/>
              </w:rPr>
              <w:t xml:space="preserve">当期純利益</w:t>
            </w:r>
          </w:p>
        </w:tc>
        <w:tc>
          <w:tcPr>
            <w:tcW w:type="pct" w:w="4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988,000,000</w:t>
            </w:r>
          </w:p>
        </w:tc>
      </w:tr>
      <w:tr>
        <w:tc>
          <w:tcPr>
            <w:tcW w:type="pct" w:w="6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親会社株主に帰属する当期純利益</w:t>
            </w:r>
          </w:p>
        </w:tc>
        <w:tc>
          <w:tcPr>
            <w:tcW w:type="pct" w:w="4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988,000,000</w:t>
            </w:r>
          </w:p>
        </w:tc>
      </w:tr>
      <w:tr>
        <w:tc>
          <w:tcPr>
            <w:tcW w:type="pct" w:w="60%"/>
            <w:tcMar>
              <w:top w:type="dxa" w:w="30"/>
              <w:left w:type="dxa" w:w="60"/>
              <w:bottom w:type="dxa" w:w="30"/>
              <w:right w:type="dxa" w:w="60"/>
            </w:tcMar>
          </w:tcPr>
          <w:p>
            <w:r>
              <w:rPr>
                <w:rFonts w:ascii="Yu Gothic" w:cs="Yu Gothic" w:eastAsia="Yu Gothic" w:hAnsi="Yu Gothic"/>
                <w:b w:val="false"/>
                <w:bCs w:val="false"/>
                <w:sz w:val="15"/>
                <w:szCs w:val="15"/>
              </w:rPr>
              <w:t xml:space="preserve">非支配株主に帰属する当期純利益</w:t>
            </w:r>
          </w:p>
        </w:tc>
        <w:tc>
          <w:tcPr>
            <w:tcW w:type="pct" w:w="4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bl>
    <w:p>
      <w:pPr>
        <w:pStyle w:val="Heading1"/>
        <w:spacing w:after="90" w:before="240"/>
      </w:pPr>
      <w:r>
        <w:rPr>
          <w:rFonts w:ascii="Yu Gothic" w:cs="Yu Gothic" w:eastAsia="Yu Gothic" w:hAnsi="Yu Gothic"/>
          <w:b/>
          <w:bCs/>
          <w:color w:val="24406B"/>
        </w:rPr>
        <w:t xml:space="preserve">連結精算表（貸借対照表）</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tblGrid>
      <w:tr>
        <w:trPr>
          <w:tblHeader/>
        </w:trPr>
        <w:tc>
          <w:tcPr>
            <w:tcW w:type="pct" w:w="4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科目</w:t>
            </w:r>
          </w:p>
        </w:tc>
        <w:tc>
          <w:tcPr>
            <w:tcW w:type="pct" w:w="2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単純合算</w:t>
            </w:r>
          </w:p>
        </w:tc>
        <w:tc>
          <w:tcPr>
            <w:tcW w:type="pct" w:w="2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修正</w:t>
            </w:r>
          </w:p>
        </w:tc>
        <w:tc>
          <w:tcPr>
            <w:tcW w:type="pct" w:w="2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連結</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現金及び預金</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1,800,000,000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1,800,000,000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売掛金</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1,620,000,000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△90,000,000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1,530,000,000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商品及び製品</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その他流動資産</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貸付金</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有形固定資産</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830,000,000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830,000,000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のれん</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72,000,000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72,000,000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子会社株式</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420,000,000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△420,000,000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関連会社株式</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180,000,000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10,000,000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190,000,000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その他固定資産</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買掛金</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410,000,000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△90,000,000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320,000,000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借入金</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400,000,000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400,000,000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その他負債</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資本金</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1,000,000,000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△100,000,000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900,000,000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資本剰余金</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1,100,000,000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1,100,000,000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利益剰余金</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1,940,000,000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△238,000,000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1,702,000,000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非支配株主持分</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bl>
    <w:p>
      <w:pPr>
        <w:pStyle w:val="Heading1"/>
        <w:spacing w:after="90" w:before="240"/>
      </w:pPr>
      <w:r>
        <w:rPr>
          <w:rFonts w:ascii="Yu Gothic" w:cs="Yu Gothic" w:eastAsia="Yu Gothic" w:hAnsi="Yu Gothic"/>
          <w:b/>
          <w:bCs/>
          <w:color w:val="24406B"/>
        </w:rPr>
        <w:t xml:space="preserve">連結精算表（損益計算書）</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tblGrid>
      <w:tr>
        <w:trPr>
          <w:tblHeader/>
        </w:trPr>
        <w:tc>
          <w:tcPr>
            <w:tcW w:type="pct" w:w="4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科目</w:t>
            </w:r>
          </w:p>
        </w:tc>
        <w:tc>
          <w:tcPr>
            <w:tcW w:type="pct" w:w="2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単純合算</w:t>
            </w:r>
          </w:p>
        </w:tc>
        <w:tc>
          <w:tcPr>
            <w:tcW w:type="pct" w:w="2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修正</w:t>
            </w:r>
          </w:p>
        </w:tc>
        <w:tc>
          <w:tcPr>
            <w:tcW w:type="pct" w:w="2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連結</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売上高</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6,920,000,000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△860,000,000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6,060,000,000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売上原価</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3,000,000,000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△860,000,000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2,140,000,000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販売費及び一般管理費</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2,520,000,000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2,520,000,000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のれん償却額</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18,000,000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18,000,000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受取配当金</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24,000,000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△24,000,000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持分法による投資損益</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△12,000,000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△12,000,000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その他損益</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負ののれん発生益</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法人税、住民税及び事業税</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382,000,000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382,000,000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非支配株主に帰属する当期純利益</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c>
          <w:tcPr>
            <w:tcW w:type="pct" w:w="20%"/>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0</w:t>
            </w:r>
          </w:p>
        </w:tc>
      </w:tr>
    </w:tbl>
    <w:p>
      <w:pPr>
        <w:spacing w:after="60"/>
      </w:pPr>
      <w:r>
        <w:rPr>
          <w:rFonts w:ascii="Yu Gothic" w:cs="Yu Gothic" w:eastAsia="Yu Gothic" w:hAnsi="Yu Gothic"/>
          <w:b w:val="false"/>
          <w:bCs w:val="false"/>
          <w:color w:val="6B7280"/>
          <w:sz w:val="15"/>
          <w:szCs w:val="15"/>
        </w:rPr>
        <w:t xml:space="preserve">「修正」列は修正仕訳の効果の合計。会社別の残高は Excel の「単体BS・PL」シートをご覧ください。未実現消去に係る税効果は本パッケージの対象外です（税理士確認のうえ転記してください）。</w:t>
      </w:r>
    </w:p>
    <w:p>
      <w:r>
        <w:br w:type="page"/>
      </w:r>
    </w:p>
    <w:p>
      <w:pPr>
        <w:pStyle w:val="Heading1"/>
        <w:spacing w:after="90" w:before="240"/>
      </w:pPr>
      <w:r>
        <w:rPr>
          <w:rFonts w:ascii="Yu Gothic" w:cs="Yu Gothic" w:eastAsia="Yu Gothic" w:hAnsi="Yu Gothic"/>
          <w:b/>
          <w:bCs/>
          <w:color w:val="24406B"/>
        </w:rPr>
        <w:t xml:space="preserve">修正仕訳台帳</w:t>
      </w:r>
    </w:p>
    <w:p>
      <w:pPr>
        <w:pStyle w:val="Heading3"/>
        <w:spacing w:after="90" w:before="240"/>
      </w:pPr>
      <w:r>
        <w:rPr>
          <w:rFonts w:ascii="Yu Gothic" w:cs="Yu Gothic" w:eastAsia="Yu Gothic" w:hAnsi="Yu Gothic"/>
          <w:b/>
          <w:bCs/>
          <w:color w:val="24406B"/>
        </w:rPr>
        <w:t xml:space="preserve">E-01　資本連結</w:t>
      </w:r>
    </w:p>
    <w:p>
      <w:pPr>
        <w:spacing w:after="60"/>
      </w:pPr>
      <w:r>
        <w:rPr>
          <w:rFonts w:ascii="Yu Gothic" w:cs="Yu Gothic" w:eastAsia="Yu Gothic" w:hAnsi="Yu Gothic"/>
          <w:b w:val="false"/>
          <w:bCs w:val="false"/>
          <w:color w:val="6B7280"/>
          <w:sz w:val="17"/>
          <w:szCs w:val="17"/>
        </w:rPr>
        <w:t xml:space="preserve">投資と資本の相殺消去、非支配株主持分の当初認識、取得後利益剰余金の振替。</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tblGrid>
      <w:tr>
        <w:trPr>
          <w:tblHeader/>
        </w:trPr>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E-CAP-s1-01</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貸方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算定</w:t>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E-CAP-s1-01</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資本金</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100,000,000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子会社株式</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420,000,000</w:t>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コード</w:t>
            </w:r>
          </w:p>
        </w:tc>
      </w:tr>
      <w:tr>
        <w:tc>
          <w:tcPr>
            <w:tcW w:type="pct" w:w="1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
            </w:r>
          </w:p>
        </w:tc>
        <w:tc>
          <w:tcPr>
            <w:tcW w:type="pct" w:w="2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利益剰余金</w:t>
            </w:r>
          </w:p>
        </w:tc>
        <w:tc>
          <w:tcPr>
            <w:tcW w:type="pct" w:w="15%"/>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140,000,000</w:t>
            </w:r>
          </w:p>
        </w:tc>
        <w:tc>
          <w:tcPr>
            <w:tcW w:type="pct" w:w="2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
            </w:r>
          </w:p>
        </w:tc>
        <w:tc>
          <w:tcPr>
            <w:tcW w:type="pct" w:w="15%"/>
            <w:shd w:fill="F3F4F6" w:color="auto" w:val="clear"/>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
            </w:r>
          </w:p>
        </w:tc>
        <w:tc>
          <w:tcPr>
            <w:tcW w:type="pct" w:w="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のれん</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180,000,000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
            </w:r>
          </w:p>
        </w:tc>
      </w:tr>
    </w:tbl>
    <w:p>
      <w:pPr>
        <w:spacing w:after="140"/>
      </w:pPr>
      <w:r>
        <w:rPr>
          <w:rFonts w:ascii="Yu Gothic" w:cs="Yu Gothic" w:eastAsia="Yu Gothic" w:hAnsi="Yu Gothic"/>
          <w:color w:val="6B7280"/>
          <w:sz w:val="14"/>
          <w:szCs w:val="14"/>
        </w:rPr>
        <w:t xml:space="preserve">入力: サンプル開発株式会社 の取得時資本合計 240,000,000円（資本金 100,000,000円＋資本剰余金 0円＋利益剰余金 140,000,000円）・投資簿価 420,000,000円・持分比率 1／算式: 親会社帰属分＝取得時資本合計×持分比率、のれん＝投資簿価−親会社帰属分、非支配株主持分＝取得時資本合計−親会社帰属分（残差）／結果: 親会社帰属分 240,000,000円・のれん 180,000,000円・非支配株主持分 0円</w:t>
      </w:r>
    </w:p>
    <w:p>
      <w:pPr>
        <w:pStyle w:val="Heading3"/>
        <w:spacing w:after="90" w:before="240"/>
      </w:pPr>
      <w:r>
        <w:rPr>
          <w:rFonts w:ascii="Yu Gothic" w:cs="Yu Gothic" w:eastAsia="Yu Gothic" w:hAnsi="Yu Gothic"/>
          <w:b/>
          <w:bCs/>
          <w:color w:val="24406B"/>
        </w:rPr>
        <w:t xml:space="preserve">E-02　のれん償却</w:t>
      </w:r>
    </w:p>
    <w:p>
      <w:pPr>
        <w:spacing w:after="60"/>
      </w:pPr>
      <w:r>
        <w:rPr>
          <w:rFonts w:ascii="Yu Gothic" w:cs="Yu Gothic" w:eastAsia="Yu Gothic" w:hAnsi="Yu Gothic"/>
          <w:b w:val="false"/>
          <w:bCs w:val="false"/>
          <w:color w:val="6B7280"/>
          <w:sz w:val="17"/>
          <w:szCs w:val="17"/>
        </w:rPr>
        <w:t xml:space="preserve">のれんの規則償却（過年度分の開始仕訳と当期償却）。</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tblGrid>
      <w:tr>
        <w:trPr>
          <w:tblHeader/>
        </w:trPr>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E-CAP-s1-03</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貸方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算定</w:t>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E-CAP-s1-03</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利益剰余金</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90,000,000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のれん</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90,000,000</w:t>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コード</w:t>
            </w:r>
          </w:p>
        </w:tc>
      </w:tr>
    </w:tbl>
    <w:p>
      <w:pPr>
        <w:spacing w:after="140"/>
      </w:pPr>
      <w:r>
        <w:rPr>
          <w:rFonts w:ascii="Yu Gothic" w:cs="Yu Gothic" w:eastAsia="Yu Gothic" w:hAnsi="Yu Gothic"/>
          <w:color w:val="6B7280"/>
          <w:sz w:val="14"/>
          <w:szCs w:val="14"/>
        </w:rPr>
        <w:t xml:space="preserve">入力: のれん 180,000,000円・償却年数 10年・当期首までの経過年数 5年／算式: 年間償却額＝のれん÷償却年数（端数は最終年度）、期首償却累計＝年間償却額の経過年数分／結果: 年間償却額 18,000,000円・期首償却累計 90,000,000円</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tblGrid>
      <w:tr>
        <w:trPr>
          <w:tblHeader/>
        </w:trPr>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E-CAP-s1-04</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貸方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算定</w:t>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E-CAP-s1-04</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のれん償却額</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18,000,000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のれん</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18,000,000</w:t>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コード</w:t>
            </w:r>
          </w:p>
        </w:tc>
      </w:tr>
    </w:tbl>
    <w:p>
      <w:pPr>
        <w:spacing w:after="140"/>
      </w:pPr>
      <w:r>
        <w:rPr>
          <w:rFonts w:ascii="Yu Gothic" w:cs="Yu Gothic" w:eastAsia="Yu Gothic" w:hAnsi="Yu Gothic"/>
          <w:color w:val="6B7280"/>
          <w:sz w:val="14"/>
          <w:szCs w:val="14"/>
        </w:rPr>
        <w:t xml:space="preserve">入力: のれん 180,000,000円・償却年数 10年・当期首までの経過年数 5年／算式: 当期償却額＝年間償却額（最終年度は のれん−年間償却額×(償却年数−1) の残額）／結果: 当期償却額 18,000,000円・期末のれん残高 72,000,000円</w:t>
      </w:r>
    </w:p>
    <w:p>
      <w:pPr>
        <w:pStyle w:val="Heading3"/>
        <w:spacing w:after="90" w:before="240"/>
      </w:pPr>
      <w:r>
        <w:rPr>
          <w:rFonts w:ascii="Yu Gothic" w:cs="Yu Gothic" w:eastAsia="Yu Gothic" w:hAnsi="Yu Gothic"/>
          <w:b/>
          <w:bCs/>
          <w:color w:val="24406B"/>
        </w:rPr>
        <w:t xml:space="preserve">E-04　債権債務の消去</w:t>
      </w:r>
    </w:p>
    <w:p>
      <w:pPr>
        <w:spacing w:after="60"/>
      </w:pPr>
      <w:r>
        <w:rPr>
          <w:rFonts w:ascii="Yu Gothic" w:cs="Yu Gothic" w:eastAsia="Yu Gothic" w:hAnsi="Yu Gothic"/>
          <w:b w:val="false"/>
          <w:bCs w:val="false"/>
          <w:color w:val="6B7280"/>
          <w:sz w:val="17"/>
          <w:szCs w:val="17"/>
        </w:rPr>
        <w:t xml:space="preserve">グループ内の売掛金・買掛金、貸付金・借入金の相殺消去。</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tblGrid>
      <w:tr>
        <w:trPr>
          <w:tblHeader/>
        </w:trPr>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E-ICB-01</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貸方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算定</w:t>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E-ICB-01</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買掛金</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90,000,000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売掛金</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90,000,000</w:t>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コード</w:t>
            </w:r>
          </w:p>
        </w:tc>
      </w:tr>
    </w:tbl>
    <w:p>
      <w:pPr>
        <w:spacing w:after="140"/>
      </w:pPr>
      <w:r>
        <w:rPr>
          <w:rFonts w:ascii="Yu Gothic" w:cs="Yu Gothic" w:eastAsia="Yu Gothic" w:hAnsi="Yu Gothic"/>
          <w:color w:val="6B7280"/>
          <w:sz w:val="14"/>
          <w:szCs w:val="14"/>
        </w:rPr>
        <w:t xml:space="preserve">入力: サンプル開発株式会社の債権 90,000,000円・サンプルソフトウェア株式会社の債務 90,000,000円（売掛金と買掛金）／算式: 消去額＝両社の計上額の少ない方／結果: 90,000,000円 を消去</w:t>
      </w:r>
    </w:p>
    <w:p>
      <w:pPr>
        <w:pStyle w:val="Heading3"/>
        <w:spacing w:after="90" w:before="240"/>
      </w:pPr>
      <w:r>
        <w:rPr>
          <w:rFonts w:ascii="Yu Gothic" w:cs="Yu Gothic" w:eastAsia="Yu Gothic" w:hAnsi="Yu Gothic"/>
          <w:b/>
          <w:bCs/>
          <w:color w:val="24406B"/>
        </w:rPr>
        <w:t xml:space="preserve">E-05　取引高の消去</w:t>
      </w:r>
    </w:p>
    <w:p>
      <w:pPr>
        <w:spacing w:after="60"/>
      </w:pPr>
      <w:r>
        <w:rPr>
          <w:rFonts w:ascii="Yu Gothic" w:cs="Yu Gothic" w:eastAsia="Yu Gothic" w:hAnsi="Yu Gothic"/>
          <w:b w:val="false"/>
          <w:bCs w:val="false"/>
          <w:color w:val="6B7280"/>
          <w:sz w:val="17"/>
          <w:szCs w:val="17"/>
        </w:rPr>
        <w:t xml:space="preserve">グループ内の売上高と売上原価の相殺消去。</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tblGrid>
      <w:tr>
        <w:trPr>
          <w:tblHeader/>
        </w:trPr>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E-ICT-01</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貸方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算定</w:t>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E-ICT-01</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売上高</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860,000,000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売上原価</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860,000,000</w:t>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コード</w:t>
            </w:r>
          </w:p>
        </w:tc>
      </w:tr>
    </w:tbl>
    <w:p>
      <w:pPr>
        <w:spacing w:after="140"/>
      </w:pPr>
      <w:r>
        <w:rPr>
          <w:rFonts w:ascii="Yu Gothic" w:cs="Yu Gothic" w:eastAsia="Yu Gothic" w:hAnsi="Yu Gothic"/>
          <w:color w:val="6B7280"/>
          <w:sz w:val="14"/>
          <w:szCs w:val="14"/>
        </w:rPr>
        <w:t xml:space="preserve">入力: サンプル開発株式会社の売上高 860,000,000円・サンプルソフトウェア株式会社の仕入高 860,000,000円／算式: 消去額＝両社の計上額の少ない方／結果: 860,000,000円 を消去</w:t>
      </w:r>
    </w:p>
    <w:p>
      <w:pPr>
        <w:pStyle w:val="Heading3"/>
        <w:spacing w:after="90" w:before="240"/>
      </w:pPr>
      <w:r>
        <w:rPr>
          <w:rFonts w:ascii="Yu Gothic" w:cs="Yu Gothic" w:eastAsia="Yu Gothic" w:hAnsi="Yu Gothic"/>
          <w:b/>
          <w:bCs/>
          <w:color w:val="24406B"/>
        </w:rPr>
        <w:t xml:space="preserve">E-07　持分法</w:t>
      </w:r>
    </w:p>
    <w:p>
      <w:pPr>
        <w:spacing w:after="60"/>
      </w:pPr>
      <w:r>
        <w:rPr>
          <w:rFonts w:ascii="Yu Gothic" w:cs="Yu Gothic" w:eastAsia="Yu Gothic" w:hAnsi="Yu Gothic"/>
          <w:b w:val="false"/>
          <w:bCs w:val="false"/>
          <w:color w:val="6B7280"/>
          <w:sz w:val="17"/>
          <w:szCs w:val="17"/>
        </w:rPr>
        <w:t xml:space="preserve">関連会社の当期純損益の取込、受取配当の投資勘定への振替、過年度取込累計の開始仕訳。</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tblGrid>
      <w:tr>
        <w:trPr>
          <w:tblHeader/>
        </w:trPr>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E-EQM-a1-01</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貸方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算定</w:t>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E-EQM-a1-01</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持分法による投資損益</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12,000,000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関連会社株式</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12,000,000</w:t>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コード</w:t>
            </w:r>
          </w:p>
        </w:tc>
      </w:tr>
    </w:tbl>
    <w:p>
      <w:pPr>
        <w:spacing w:after="140"/>
      </w:pPr>
      <w:r>
        <w:rPr>
          <w:rFonts w:ascii="Yu Gothic" w:cs="Yu Gothic" w:eastAsia="Yu Gothic" w:hAnsi="Yu Gothic"/>
          <w:color w:val="6B7280"/>
          <w:sz w:val="14"/>
          <w:szCs w:val="14"/>
        </w:rPr>
        <w:t xml:space="preserve">入力: サンプルデータ株式会社 の当期純利益 △60,000,000円・持分比率 0.2・投資簿価 180,000,000円／算式: 当期取込額＝当期純利益×持分比率（修正後の投資簿価がゼロを下回る場合は打切り）／結果: 当期取込額 △12,000,000円</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tblGrid>
      <w:tr>
        <w:trPr>
          <w:tblHeader/>
        </w:trPr>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E-EQM-a1-03</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貸方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算定</w:t>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E-EQM-a1-03</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関連会社株式</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22,000,000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利益剰余金</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22,000,000</w:t>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コード</w:t>
            </w:r>
          </w:p>
        </w:tc>
      </w:tr>
    </w:tbl>
    <w:p>
      <w:pPr>
        <w:spacing w:after="140"/>
      </w:pPr>
      <w:r>
        <w:rPr>
          <w:rFonts w:ascii="Yu Gothic" w:cs="Yu Gothic" w:eastAsia="Yu Gothic" w:hAnsi="Yu Gothic"/>
          <w:color w:val="6B7280"/>
          <w:sz w:val="14"/>
          <w:szCs w:val="14"/>
        </w:rPr>
        <w:t xml:space="preserve">入力: サンプルデータ株式会社 に係る過年度の取込累計額 22,000,000円／算式: 開始仕訳として投資勘定と利益剰余金に反映／結果: 22,000,000円 を反映</w:t>
      </w:r>
    </w:p>
    <w:p>
      <w:pPr>
        <w:pStyle w:val="Heading3"/>
        <w:spacing w:after="90" w:before="240"/>
      </w:pPr>
      <w:r>
        <w:rPr>
          <w:rFonts w:ascii="Yu Gothic" w:cs="Yu Gothic" w:eastAsia="Yu Gothic" w:hAnsi="Yu Gothic"/>
          <w:b/>
          <w:bCs/>
          <w:color w:val="24406B"/>
        </w:rPr>
        <w:t xml:space="preserve">E-08　配当の消去</w:t>
      </w:r>
    </w:p>
    <w:p>
      <w:pPr>
        <w:spacing w:after="60"/>
      </w:pPr>
      <w:r>
        <w:rPr>
          <w:rFonts w:ascii="Yu Gothic" w:cs="Yu Gothic" w:eastAsia="Yu Gothic" w:hAnsi="Yu Gothic"/>
          <w:b w:val="false"/>
          <w:bCs w:val="false"/>
          <w:color w:val="6B7280"/>
          <w:sz w:val="17"/>
          <w:szCs w:val="17"/>
        </w:rPr>
        <w:t xml:space="preserve">子会社が支払った配当のうち、親会社受取分の消去と非支配株主分の振替。</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tblGrid>
      <w:tr>
        <w:trPr>
          <w:tblHeader/>
        </w:trPr>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E-DIV-s1-01</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貸方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算定</w:t>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E-DIV-s1-01</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受取配当金</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24,000,000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利益剰余金</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24,000,000</w:t>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コード</w:t>
            </w:r>
          </w:p>
        </w:tc>
      </w:tr>
    </w:tbl>
    <w:p>
      <w:pPr>
        <w:spacing w:after="140"/>
      </w:pPr>
      <w:r>
        <w:rPr>
          <w:rFonts w:ascii="Yu Gothic" w:cs="Yu Gothic" w:eastAsia="Yu Gothic" w:hAnsi="Yu Gothic"/>
          <w:color w:val="6B7280"/>
          <w:sz w:val="14"/>
          <w:szCs w:val="14"/>
        </w:rPr>
        <w:t xml:space="preserve">入力: サンプル開発株式会社 の当期配当総額 24,000,000円・持分比率 1・親会社の受取配当金計上額 24,000,000円／算式: 親会社受取分＝配当総額×持分比率、非支配株主分＝配当総額−親会社受取分（残差）、消去額＝親会社受取分と計上額の少ない方／結果: 親会社受取分 24,000,000円・消去 24,000,000円・非支配株主分 0円</w:t>
      </w:r>
    </w:p>
    <w:p>
      <w:pPr>
        <w:pStyle w:val="Heading3"/>
        <w:spacing w:after="90" w:before="240"/>
      </w:pPr>
      <w:r>
        <w:rPr>
          <w:rFonts w:ascii="Yu Gothic" w:cs="Yu Gothic" w:eastAsia="Yu Gothic" w:hAnsi="Yu Gothic"/>
          <w:b/>
          <w:bCs/>
          <w:color w:val="24406B"/>
        </w:rPr>
        <w:t xml:space="preserve">E-09　精算表振替</w:t>
      </w:r>
    </w:p>
    <w:p>
      <w:pPr>
        <w:spacing w:after="60"/>
      </w:pPr>
      <w:r>
        <w:rPr>
          <w:rFonts w:ascii="Yu Gothic" w:cs="Yu Gothic" w:eastAsia="Yu Gothic" w:hAnsi="Yu Gothic"/>
          <w:b w:val="false"/>
          <w:bCs w:val="false"/>
          <w:color w:val="6B7280"/>
          <w:sz w:val="17"/>
          <w:szCs w:val="17"/>
        </w:rPr>
        <w:t xml:space="preserve">修正仕訳の損益への影響額を利益剰余金へ振り替える精算表上の technical な仕訳。</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tblGrid>
      <w:tr>
        <w:trPr>
          <w:tblHeader/>
        </w:trPr>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E-CLS-01</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2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貸方</w:t>
            </w:r>
          </w:p>
        </w:tc>
        <w:tc>
          <w:tcPr>
            <w:tcW w:type="pct" w:w="15%"/>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c>
          <w:tcPr>
            <w:tcW w:type="pct" w:w="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算定</w:t>
            </w:r>
          </w:p>
        </w:tc>
      </w:tr>
      <w:tr>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E-CLS-01</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利益剰余金</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54,000,000</w:t>
            </w:r>
          </w:p>
        </w:tc>
        <w:tc>
          <w:tcPr>
            <w:tcW w:type="pct" w:w="24%"/>
            <w:tcMar>
              <w:top w:type="dxa" w:w="30"/>
              <w:left w:type="dxa" w:w="60"/>
              <w:bottom w:type="dxa" w:w="30"/>
              <w:right w:type="dxa" w:w="60"/>
            </w:tcMar>
          </w:tcPr>
          <w:p>
            <w:r>
              <w:rPr>
                <w:rFonts w:ascii="Yu Gothic" w:cs="Yu Gothic" w:eastAsia="Yu Gothic" w:hAnsi="Yu Gothic"/>
                <w:b w:val="false"/>
                <w:bCs w:val="false"/>
                <w:sz w:val="15"/>
                <w:szCs w:val="15"/>
              </w:rPr>
              <w:t xml:space="preserve">精算表技術行</w:t>
            </w:r>
          </w:p>
        </w:tc>
        <w:tc>
          <w:tcPr>
            <w:tcW w:type="pct" w:w="15%"/>
            <w:tcMar>
              <w:top w:type="dxa" w:w="30"/>
              <w:left w:type="dxa" w:w="60"/>
              <w:bottom w:type="dxa" w:w="30"/>
              <w:right w:type="dxa" w:w="60"/>
            </w:tcMar>
          </w:tcPr>
          <w:p>
            <w:pPr>
              <w:jc w:val="right"/>
            </w:pPr>
            <w:r>
              <w:rPr>
                <w:rFonts w:ascii="Yu Gothic" w:cs="Yu Gothic" w:eastAsia="Yu Gothic" w:hAnsi="Yu Gothic"/>
                <w:b w:val="false"/>
                <w:bCs w:val="false"/>
                <w:sz w:val="15"/>
                <w:szCs w:val="15"/>
              </w:rPr>
              <w:t xml:space="preserve">54,000,000</w:t>
            </w:r>
          </w:p>
        </w:tc>
        <w:tc>
          <w:tcPr>
            <w:tcW w:type="pct" w:w="6%"/>
            <w:tcMar>
              <w:top w:type="dxa" w:w="30"/>
              <w:left w:type="dxa" w:w="60"/>
              <w:bottom w:type="dxa" w:w="30"/>
              <w:right w:type="dxa" w:w="60"/>
            </w:tcMar>
          </w:tcPr>
          <w:p>
            <w:r>
              <w:rPr>
                <w:rFonts w:ascii="Yu Gothic" w:cs="Yu Gothic" w:eastAsia="Yu Gothic" w:hAnsi="Yu Gothic"/>
                <w:b w:val="false"/>
                <w:bCs w:val="false"/>
                <w:sz w:val="15"/>
                <w:szCs w:val="15"/>
              </w:rPr>
              <w:t xml:space="preserve">コード</w:t>
            </w:r>
          </w:p>
        </w:tc>
      </w:tr>
    </w:tbl>
    <w:p>
      <w:pPr>
        <w:spacing w:after="140"/>
      </w:pPr>
      <w:r>
        <w:rPr>
          <w:rFonts w:ascii="Yu Gothic" w:cs="Yu Gothic" w:eastAsia="Yu Gothic" w:hAnsi="Yu Gothic"/>
          <w:color w:val="6B7280"/>
          <w:sz w:val="14"/>
          <w:szCs w:val="14"/>
        </w:rPr>
        <w:t xml:space="preserve">入力: 全修正仕訳の損益への影響額／算式: 親会社株主に帰属する当期純利益の増減＝収益側の効果−費用側の効果−非支配株主帰属分／結果: △54,000,000円 を利益剰余金へ振り替え（相手側は精算表技術行）</w:t>
      </w:r>
    </w:p>
    <w:p>
      <w:pPr>
        <w:pStyle w:val="Heading1"/>
        <w:spacing w:after="90" w:before="240"/>
      </w:pPr>
      <w:r>
        <w:rPr>
          <w:rFonts w:ascii="Yu Gothic" w:cs="Yu Gothic" w:eastAsia="Yu Gothic" w:hAnsi="Yu Gothic"/>
          <w:b/>
          <w:bCs/>
          <w:color w:val="24406B"/>
        </w:rPr>
        <w:t xml:space="preserve">差異一覧</w:t>
      </w:r>
    </w:p>
    <w:p>
      <w:pPr>
        <w:spacing w:after="60"/>
      </w:pPr>
      <w:r>
        <w:rPr>
          <w:rFonts w:ascii="Yu Gothic" w:cs="Yu Gothic" w:eastAsia="Yu Gothic" w:hAnsi="Yu Gothic"/>
          <w:b w:val="false"/>
          <w:bCs w:val="false"/>
          <w:sz w:val="18"/>
          <w:szCs w:val="18"/>
        </w:rPr>
        <w:t xml:space="preserve">グループ内の突合で差異はありません。</w:t>
      </w:r>
    </w:p>
    <w:p>
      <w:pPr>
        <w:pStyle w:val="Heading1"/>
        <w:spacing w:after="90" w:before="240"/>
      </w:pPr>
      <w:r>
        <w:rPr>
          <w:rFonts w:ascii="Yu Gothic" w:cs="Yu Gothic" w:eastAsia="Yu Gothic" w:hAnsi="Yu Gothic"/>
          <w:b/>
          <w:bCs/>
          <w:color w:val="24406B"/>
        </w:rPr>
        <w:t xml:space="preserve">注記ドラフト</w:t>
      </w:r>
    </w:p>
    <w:p>
      <w:pPr>
        <w:pStyle w:val="Heading3"/>
        <w:spacing w:after="90" w:before="240"/>
      </w:pPr>
      <w:r>
        <w:rPr>
          <w:rFonts w:ascii="Yu Gothic" w:cs="Yu Gothic" w:eastAsia="Yu Gothic" w:hAnsi="Yu Gothic"/>
          <w:b/>
          <w:bCs/>
          <w:color w:val="24406B"/>
        </w:rPr>
        <w:t xml:space="preserve">連結の範囲</w:t>
      </w:r>
    </w:p>
    <w:p>
      <w:pPr>
        <w:spacing w:after="60"/>
      </w:pPr>
      <w:r>
        <w:rPr>
          <w:rFonts w:ascii="Yu Gothic" w:cs="Yu Gothic" w:eastAsia="Yu Gothic" w:hAnsi="Yu Gothic"/>
          <w:b w:val="false"/>
          <w:bCs w:val="false"/>
          <w:sz w:val="18"/>
          <w:szCs w:val="18"/>
        </w:rPr>
        <w:t xml:space="preserve">連結の範囲には、当社および連結子会社1社を含めています。持分法適用会社は1社です。連結財務諸表の資産合計は4,422,000,000円、売上高は6,060,000,000円です。</w:t>
      </w:r>
    </w:p>
    <w:p>
      <w:pPr>
        <w:pStyle w:val="Heading3"/>
        <w:spacing w:after="90" w:before="240"/>
      </w:pPr>
      <w:r>
        <w:rPr>
          <w:rFonts w:ascii="Yu Gothic" w:cs="Yu Gothic" w:eastAsia="Yu Gothic" w:hAnsi="Yu Gothic"/>
          <w:b/>
          <w:bCs/>
          <w:color w:val="24406B"/>
        </w:rPr>
        <w:t xml:space="preserve">のれん</w:t>
      </w:r>
    </w:p>
    <w:p>
      <w:pPr>
        <w:spacing w:after="60"/>
      </w:pPr>
      <w:r>
        <w:rPr>
          <w:rFonts w:ascii="Yu Gothic" w:cs="Yu Gothic" w:eastAsia="Yu Gothic" w:hAnsi="Yu Gothic"/>
          <w:b w:val="false"/>
          <w:bCs w:val="false"/>
          <w:sz w:val="18"/>
          <w:szCs w:val="18"/>
        </w:rPr>
        <w:t xml:space="preserve">のれんは取得時の投資簿価と取得時の資本のうち親会社帰属分との差額として認識し、定額法により規則的に償却しています。当期末ののれんの残高は72,000,000円です。</w:t>
      </w:r>
    </w:p>
    <w:p>
      <w:pPr>
        <w:pStyle w:val="Heading3"/>
        <w:spacing w:after="90" w:before="240"/>
      </w:pPr>
      <w:r>
        <w:rPr>
          <w:rFonts w:ascii="Yu Gothic" w:cs="Yu Gothic" w:eastAsia="Yu Gothic" w:hAnsi="Yu Gothic"/>
          <w:b/>
          <w:bCs/>
          <w:color w:val="24406B"/>
        </w:rPr>
        <w:t xml:space="preserve">持分法の適用</w:t>
      </w:r>
    </w:p>
    <w:p>
      <w:pPr>
        <w:spacing w:after="60"/>
      </w:pPr>
      <w:r>
        <w:rPr>
          <w:rFonts w:ascii="Yu Gothic" w:cs="Yu Gothic" w:eastAsia="Yu Gothic" w:hAnsi="Yu Gothic"/>
          <w:b w:val="false"/>
          <w:bCs w:val="false"/>
          <w:sz w:val="18"/>
          <w:szCs w:val="18"/>
        </w:rPr>
        <w:t xml:space="preserve">関連会社に対する投資については持分法を適用し、投資後に生じた損益のうち当社の持分に相当する額を関連会社株式の帳簿価額に加減しています。受取配当は投資勘定の減額として処理しています。</w:t>
      </w:r>
    </w:p>
    <w:p>
      <w:pPr>
        <w:pBdr>
          <w:left w:val="single" w:color="24406B" w:sz="18" w:space="8"/>
        </w:pBdr>
        <w:shd w:fill="F3F4F6" w:color="auto" w:val="clear"/>
        <w:spacing w:after="120" w:before="60"/>
      </w:pPr>
      <w:r>
        <w:rPr>
          <w:rFonts w:ascii="Yu Gothic" w:cs="Yu Gothic" w:eastAsia="Yu Gothic" w:hAnsi="Yu Gothic"/>
          <w:color w:val="444444"/>
          <w:sz w:val="16"/>
          <w:szCs w:val="16"/>
        </w:rPr>
        <w:t xml:space="preserve">未実現損益消去等の連結修正に対する繰延税金の計上は本パッケージに含まれていません（税理士確認事項）。連結の会計処理のみを扱います。</w:t>
      </w:r>
    </w:p>
    <w:p>
      <w:pPr>
        <w:pStyle w:val="Heading1"/>
        <w:spacing w:after="90" w:before="240"/>
      </w:pPr>
      <w:r>
        <w:rPr>
          <w:rFonts w:ascii="Yu Gothic" w:cs="Yu Gothic" w:eastAsia="Yu Gothic" w:hAnsi="Yu Gothic"/>
          <w:b/>
          <w:bCs/>
          <w:color w:val="24406B"/>
        </w:rPr>
        <w:t xml:space="preserve">チェックリスト</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tblGrid>
      <w:tr>
        <w:trPr>
          <w:tblHeader/>
        </w:trPr>
        <w:tc>
          <w:tcPr>
            <w:tcW w:type="pct" w:w="8%"/>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ID</w:t>
            </w:r>
          </w:p>
        </w:tc>
        <w:tc>
          <w:tcPr>
            <w:tcW w:type="pct" w:w="42%"/>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項目</w:t>
            </w:r>
          </w:p>
        </w:tc>
        <w:tc>
          <w:tcPr>
            <w:tcW w:type="pct" w:w="1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状態</w:t>
            </w:r>
          </w:p>
        </w:tc>
        <w:tc>
          <w:tcPr>
            <w:tcW w:type="pct" w:w="3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補足</w:t>
            </w:r>
          </w:p>
        </w:tc>
      </w:tr>
      <w:tr>
        <w:tc>
          <w:tcPr>
            <w:tcW w:type="pct" w:w="8%"/>
            <w:tcMar>
              <w:top w:type="dxa" w:w="30"/>
              <w:left w:type="dxa" w:w="60"/>
              <w:bottom w:type="dxa" w:w="30"/>
              <w:right w:type="dxa" w:w="60"/>
            </w:tcMar>
          </w:tcPr>
          <w:p>
            <w:r>
              <w:rPr>
                <w:rFonts w:ascii="Yu Gothic" w:cs="Yu Gothic" w:eastAsia="Yu Gothic" w:hAnsi="Yu Gothic"/>
                <w:b w:val="false"/>
                <w:bCs w:val="false"/>
                <w:sz w:val="15"/>
                <w:szCs w:val="15"/>
              </w:rPr>
              <w:t xml:space="preserve">C-01</w:t>
            </w:r>
          </w:p>
        </w:tc>
        <w:tc>
          <w:tcPr>
            <w:tcW w:type="pct" w:w="42%"/>
            <w:tcMar>
              <w:top w:type="dxa" w:w="30"/>
              <w:left w:type="dxa" w:w="60"/>
              <w:bottom w:type="dxa" w:w="30"/>
              <w:right w:type="dxa" w:w="60"/>
            </w:tcMar>
          </w:tcPr>
          <w:p>
            <w:r>
              <w:rPr>
                <w:rFonts w:ascii="Yu Gothic" w:cs="Yu Gothic" w:eastAsia="Yu Gothic" w:hAnsi="Yu Gothic"/>
                <w:b w:val="false"/>
                <w:bCs w:val="false"/>
                <w:sz w:val="15"/>
                <w:szCs w:val="15"/>
              </w:rPr>
              <w:t xml:space="preserve">各社の個別貸借対照表の貸借が一致している</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自動: 適合</w:t>
            </w:r>
          </w:p>
        </w:tc>
        <w:tc>
          <w:tcPr>
            <w:tcW w:type="pct" w:w="36%"/>
            <w:tcMar>
              <w:top w:type="dxa" w:w="30"/>
              <w:left w:type="dxa" w:w="60"/>
              <w:bottom w:type="dxa" w:w="30"/>
              <w:right w:type="dxa" w:w="60"/>
            </w:tcMar>
          </w:tcPr>
          <w:p>
            <w:r>
              <w:rPr>
                <w:rFonts w:ascii="Yu Gothic" w:cs="Yu Gothic" w:eastAsia="Yu Gothic" w:hAnsi="Yu Gothic"/>
                <w:b w:val="false"/>
                <w:bCs w:val="false"/>
                <w:sz w:val="15"/>
                <w:szCs w:val="15"/>
              </w:rPr>
              <w:t xml:space="preserve">一致しない個別財務諸表は計算前に差し戻されます。</w:t>
            </w:r>
          </w:p>
        </w:tc>
      </w:tr>
      <w:tr>
        <w:tc>
          <w:tcPr>
            <w:tcW w:type="pct" w:w="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C-02</w:t>
            </w:r>
          </w:p>
        </w:tc>
        <w:tc>
          <w:tcPr>
            <w:tcW w:type="pct" w:w="4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投資簿価と親会社の子会社株式が突合している</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自動: 適合</w:t>
            </w:r>
          </w:p>
        </w:tc>
        <w:tc>
          <w:tcPr>
            <w:tcW w:type="pct" w:w="3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一致しない場合は資本連結の前提が崩れるため計算しません。</w:t>
            </w:r>
          </w:p>
        </w:tc>
      </w:tr>
      <w:tr>
        <w:tc>
          <w:tcPr>
            <w:tcW w:type="pct" w:w="8%"/>
            <w:tcMar>
              <w:top w:type="dxa" w:w="30"/>
              <w:left w:type="dxa" w:w="60"/>
              <w:bottom w:type="dxa" w:w="30"/>
              <w:right w:type="dxa" w:w="60"/>
            </w:tcMar>
          </w:tcPr>
          <w:p>
            <w:r>
              <w:rPr>
                <w:rFonts w:ascii="Yu Gothic" w:cs="Yu Gothic" w:eastAsia="Yu Gothic" w:hAnsi="Yu Gothic"/>
                <w:b w:val="false"/>
                <w:bCs w:val="false"/>
                <w:sz w:val="15"/>
                <w:szCs w:val="15"/>
              </w:rPr>
              <w:t xml:space="preserve">C-03</w:t>
            </w:r>
          </w:p>
        </w:tc>
        <w:tc>
          <w:tcPr>
            <w:tcW w:type="pct" w:w="42%"/>
            <w:tcMar>
              <w:top w:type="dxa" w:w="30"/>
              <w:left w:type="dxa" w:w="60"/>
              <w:bottom w:type="dxa" w:w="30"/>
              <w:right w:type="dxa" w:w="60"/>
            </w:tcMar>
          </w:tcPr>
          <w:p>
            <w:r>
              <w:rPr>
                <w:rFonts w:ascii="Yu Gothic" w:cs="Yu Gothic" w:eastAsia="Yu Gothic" w:hAnsi="Yu Gothic"/>
                <w:b w:val="false"/>
                <w:bCs w:val="false"/>
                <w:sz w:val="15"/>
                <w:szCs w:val="15"/>
              </w:rPr>
              <w:t xml:space="preserve">グループ内の債権債務に差異がない</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自動: 適合</w:t>
            </w:r>
          </w:p>
        </w:tc>
        <w:tc>
          <w:tcPr>
            <w:tcW w:type="pct" w:w="36%"/>
            <w:tcMar>
              <w:top w:type="dxa" w:w="30"/>
              <w:left w:type="dxa" w:w="60"/>
              <w:bottom w:type="dxa" w:w="30"/>
              <w:right w:type="dxa" w:w="60"/>
            </w:tcMar>
          </w:tcPr>
          <w:p>
            <w:r>
              <w:rPr>
                <w:rFonts w:ascii="Yu Gothic" w:cs="Yu Gothic" w:eastAsia="Yu Gothic" w:hAnsi="Yu Gothic"/>
                <w:b w:val="false"/>
                <w:bCs w:val="false"/>
                <w:sz w:val="15"/>
                <w:szCs w:val="15"/>
              </w:rPr>
              <w:t xml:space="preserve">差異がある場合は消去額を少ない方に合わせ、差額を差異一覧に残します。</w:t>
            </w:r>
          </w:p>
        </w:tc>
      </w:tr>
      <w:tr>
        <w:tc>
          <w:tcPr>
            <w:tcW w:type="pct" w:w="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C-04</w:t>
            </w:r>
          </w:p>
        </w:tc>
        <w:tc>
          <w:tcPr>
            <w:tcW w:type="pct" w:w="4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グループ内の取引高に差異がない</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自動: 適合</w:t>
            </w:r>
          </w:p>
        </w:tc>
        <w:tc>
          <w:tcPr>
            <w:tcW w:type="pct" w:w="3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差異がある場合は消去額を少ない方に合わせ、差額を差異一覧に残します。</w:t>
            </w:r>
          </w:p>
        </w:tc>
      </w:tr>
      <w:tr>
        <w:tc>
          <w:tcPr>
            <w:tcW w:type="pct" w:w="8%"/>
            <w:tcMar>
              <w:top w:type="dxa" w:w="30"/>
              <w:left w:type="dxa" w:w="60"/>
              <w:bottom w:type="dxa" w:w="30"/>
              <w:right w:type="dxa" w:w="60"/>
            </w:tcMar>
          </w:tcPr>
          <w:p>
            <w:r>
              <w:rPr>
                <w:rFonts w:ascii="Yu Gothic" w:cs="Yu Gothic" w:eastAsia="Yu Gothic" w:hAnsi="Yu Gothic"/>
                <w:b w:val="false"/>
                <w:bCs w:val="false"/>
                <w:sz w:val="15"/>
                <w:szCs w:val="15"/>
              </w:rPr>
              <w:t xml:space="preserve">C-05</w:t>
            </w:r>
          </w:p>
        </w:tc>
        <w:tc>
          <w:tcPr>
            <w:tcW w:type="pct" w:w="42%"/>
            <w:tcMar>
              <w:top w:type="dxa" w:w="30"/>
              <w:left w:type="dxa" w:w="60"/>
              <w:bottom w:type="dxa" w:w="30"/>
              <w:right w:type="dxa" w:w="60"/>
            </w:tcMar>
          </w:tcPr>
          <w:p>
            <w:r>
              <w:rPr>
                <w:rFonts w:ascii="Yu Gothic" w:cs="Yu Gothic" w:eastAsia="Yu Gothic" w:hAnsi="Yu Gothic"/>
                <w:b w:val="false"/>
                <w:bCs w:val="false"/>
                <w:sz w:val="15"/>
                <w:szCs w:val="15"/>
              </w:rPr>
              <w:t xml:space="preserve">子会社からの受取配当が持分比率と整合している</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自動: 適合</w:t>
            </w:r>
          </w:p>
        </w:tc>
        <w:tc>
          <w:tcPr>
            <w:tcW w:type="pct" w:w="36%"/>
            <w:tcMar>
              <w:top w:type="dxa" w:w="30"/>
              <w:left w:type="dxa" w:w="60"/>
              <w:bottom w:type="dxa" w:w="30"/>
              <w:right w:type="dxa" w:w="60"/>
            </w:tcMar>
          </w:tcPr>
          <w:p>
            <w:r>
              <w:rPr>
                <w:rFonts w:ascii="Yu Gothic" w:cs="Yu Gothic" w:eastAsia="Yu Gothic" w:hAnsi="Yu Gothic"/>
                <w:b w:val="false"/>
                <w:bCs w:val="false"/>
                <w:sz w:val="15"/>
                <w:szCs w:val="15"/>
              </w:rPr>
              <w:t xml:space="preserve">整合しない場合は消去額を親会社の計上額までとし、差額を差異一覧に残します。</w:t>
            </w:r>
          </w:p>
        </w:tc>
      </w:tr>
      <w:tr>
        <w:tc>
          <w:tcPr>
            <w:tcW w:type="pct" w:w="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C-06</w:t>
            </w:r>
          </w:p>
        </w:tc>
        <w:tc>
          <w:tcPr>
            <w:tcW w:type="pct" w:w="4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のれんの償却年数と経過年数が実態と合っている</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要確認</w:t>
            </w:r>
          </w:p>
        </w:tc>
        <w:tc>
          <w:tcPr>
            <w:tcW w:type="pct" w:w="3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取得時の資料（株式譲渡契約・取得時の純資産）と突合してください。</w:t>
            </w:r>
          </w:p>
        </w:tc>
      </w:tr>
      <w:tr>
        <w:tc>
          <w:tcPr>
            <w:tcW w:type="pct" w:w="8%"/>
            <w:tcMar>
              <w:top w:type="dxa" w:w="30"/>
              <w:left w:type="dxa" w:w="60"/>
              <w:bottom w:type="dxa" w:w="30"/>
              <w:right w:type="dxa" w:w="60"/>
            </w:tcMar>
          </w:tcPr>
          <w:p>
            <w:r>
              <w:rPr>
                <w:rFonts w:ascii="Yu Gothic" w:cs="Yu Gothic" w:eastAsia="Yu Gothic" w:hAnsi="Yu Gothic"/>
                <w:b w:val="false"/>
                <w:bCs w:val="false"/>
                <w:sz w:val="15"/>
                <w:szCs w:val="15"/>
              </w:rPr>
              <w:t xml:space="preserve">C-07</w:t>
            </w:r>
          </w:p>
        </w:tc>
        <w:tc>
          <w:tcPr>
            <w:tcW w:type="pct" w:w="42%"/>
            <w:tcMar>
              <w:top w:type="dxa" w:w="30"/>
              <w:left w:type="dxa" w:w="60"/>
              <w:bottom w:type="dxa" w:w="30"/>
              <w:right w:type="dxa" w:w="60"/>
            </w:tcMar>
          </w:tcPr>
          <w:p>
            <w:r>
              <w:rPr>
                <w:rFonts w:ascii="Yu Gothic" w:cs="Yu Gothic" w:eastAsia="Yu Gothic" w:hAnsi="Yu Gothic"/>
                <w:b w:val="false"/>
                <w:bCs w:val="false"/>
                <w:sz w:val="15"/>
                <w:szCs w:val="15"/>
              </w:rPr>
              <w:t xml:space="preserve">期末内部在庫の売上総利益率の根拠がある</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要確認</w:t>
            </w:r>
          </w:p>
        </w:tc>
        <w:tc>
          <w:tcPr>
            <w:tcW w:type="pct" w:w="36%"/>
            <w:tcMar>
              <w:top w:type="dxa" w:w="30"/>
              <w:left w:type="dxa" w:w="60"/>
              <w:bottom w:type="dxa" w:w="30"/>
              <w:right w:type="dxa" w:w="60"/>
            </w:tcMar>
          </w:tcPr>
          <w:p>
            <w:r>
              <w:rPr>
                <w:rFonts w:ascii="Yu Gothic" w:cs="Yu Gothic" w:eastAsia="Yu Gothic" w:hAnsi="Yu Gothic"/>
                <w:b w:val="false"/>
                <w:bCs w:val="false"/>
                <w:sz w:val="15"/>
                <w:szCs w:val="15"/>
              </w:rPr>
              <w:t xml:space="preserve">販売側の当期実績である旨と、算定根拠の資料を確認してください。</w:t>
            </w:r>
          </w:p>
        </w:tc>
      </w:tr>
      <w:tr>
        <w:tc>
          <w:tcPr>
            <w:tcW w:type="pct" w:w="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C-08</w:t>
            </w:r>
          </w:p>
        </w:tc>
        <w:tc>
          <w:tcPr>
            <w:tcW w:type="pct" w:w="4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関連会社の当期純利益・配当・過年度取込累計を入手している</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要確認</w:t>
            </w:r>
          </w:p>
        </w:tc>
        <w:tc>
          <w:tcPr>
            <w:tcW w:type="pct" w:w="3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関連会社の決算書または報告資料と突合してください。</w:t>
            </w:r>
          </w:p>
        </w:tc>
      </w:tr>
      <w:tr>
        <w:tc>
          <w:tcPr>
            <w:tcW w:type="pct" w:w="8%"/>
            <w:tcMar>
              <w:top w:type="dxa" w:w="30"/>
              <w:left w:type="dxa" w:w="60"/>
              <w:bottom w:type="dxa" w:w="30"/>
              <w:right w:type="dxa" w:w="60"/>
            </w:tcMar>
          </w:tcPr>
          <w:p>
            <w:r>
              <w:rPr>
                <w:rFonts w:ascii="Yu Gothic" w:cs="Yu Gothic" w:eastAsia="Yu Gothic" w:hAnsi="Yu Gothic"/>
                <w:b w:val="false"/>
                <w:bCs w:val="false"/>
                <w:sz w:val="15"/>
                <w:szCs w:val="15"/>
              </w:rPr>
              <w:t xml:space="preserve">C-09</w:t>
            </w:r>
          </w:p>
        </w:tc>
        <w:tc>
          <w:tcPr>
            <w:tcW w:type="pct" w:w="42%"/>
            <w:tcMar>
              <w:top w:type="dxa" w:w="30"/>
              <w:left w:type="dxa" w:w="60"/>
              <w:bottom w:type="dxa" w:w="30"/>
              <w:right w:type="dxa" w:w="60"/>
            </w:tcMar>
          </w:tcPr>
          <w:p>
            <w:r>
              <w:rPr>
                <w:rFonts w:ascii="Yu Gothic" w:cs="Yu Gothic" w:eastAsia="Yu Gothic" w:hAnsi="Yu Gothic"/>
                <w:b w:val="false"/>
                <w:bCs w:val="false"/>
                <w:sz w:val="15"/>
                <w:szCs w:val="15"/>
              </w:rPr>
              <w:t xml:space="preserve">決算期のズレに対する仮決算の要否を検討した</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要確認</w:t>
            </w:r>
          </w:p>
        </w:tc>
        <w:tc>
          <w:tcPr>
            <w:tcW w:type="pct" w:w="36%"/>
            <w:tcMar>
              <w:top w:type="dxa" w:w="30"/>
              <w:left w:type="dxa" w:w="60"/>
              <w:bottom w:type="dxa" w:w="30"/>
              <w:right w:type="dxa" w:w="60"/>
            </w:tcMar>
          </w:tcPr>
          <w:p>
            <w:r>
              <w:rPr>
                <w:rFonts w:ascii="Yu Gothic" w:cs="Yu Gothic" w:eastAsia="Yu Gothic" w:hAnsi="Yu Gothic"/>
                <w:b w:val="false"/>
                <w:bCs w:val="false"/>
                <w:sz w:val="15"/>
                <w:szCs w:val="15"/>
              </w:rPr>
              <w:t xml:space="preserve">決算日が異なる子会社がある場合、仮決算または重要な取引の調整の要否を確認してください。</w:t>
            </w:r>
          </w:p>
        </w:tc>
      </w:tr>
      <w:tr>
        <w:tc>
          <w:tcPr>
            <w:tcW w:type="pct" w:w="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C-10</w:t>
            </w:r>
          </w:p>
        </w:tc>
        <w:tc>
          <w:tcPr>
            <w:tcW w:type="pct" w:w="4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連結修正に係る繰延税金は非搭載（税理士確認事項）</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要確認</w:t>
            </w:r>
          </w:p>
        </w:tc>
        <w:tc>
          <w:tcPr>
            <w:tcW w:type="pct" w:w="3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未実現損益消去等の連結修正に対する繰延税金の計上は本パッケージに含まれていません（税理士確認事項）。連結の会計処理のみを扱います。</w:t>
            </w:r>
          </w:p>
        </w:tc>
      </w:tr>
      <w:tr>
        <w:tc>
          <w:tcPr>
            <w:tcW w:type="pct" w:w="8%"/>
            <w:tcMar>
              <w:top w:type="dxa" w:w="30"/>
              <w:left w:type="dxa" w:w="60"/>
              <w:bottom w:type="dxa" w:w="30"/>
              <w:right w:type="dxa" w:w="60"/>
            </w:tcMar>
          </w:tcPr>
          <w:p>
            <w:r>
              <w:rPr>
                <w:rFonts w:ascii="Yu Gothic" w:cs="Yu Gothic" w:eastAsia="Yu Gothic" w:hAnsi="Yu Gothic"/>
                <w:b w:val="false"/>
                <w:bCs w:val="false"/>
                <w:sz w:val="15"/>
                <w:szCs w:val="15"/>
              </w:rPr>
              <w:t xml:space="preserve">C-11</w:t>
            </w:r>
          </w:p>
        </w:tc>
        <w:tc>
          <w:tcPr>
            <w:tcW w:type="pct" w:w="42%"/>
            <w:tcMar>
              <w:top w:type="dxa" w:w="30"/>
              <w:left w:type="dxa" w:w="60"/>
              <w:bottom w:type="dxa" w:w="30"/>
              <w:right w:type="dxa" w:w="60"/>
            </w:tcMar>
          </w:tcPr>
          <w:p>
            <w:r>
              <w:rPr>
                <w:rFonts w:ascii="Yu Gothic" w:cs="Yu Gothic" w:eastAsia="Yu Gothic" w:hAnsi="Yu Gothic"/>
                <w:b w:val="false"/>
                <w:bCs w:val="false"/>
                <w:sz w:val="15"/>
                <w:szCs w:val="15"/>
              </w:rPr>
              <w:t xml:space="preserve">のれんの減損の兆候の有無を検討した</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要確認</w:t>
            </w:r>
          </w:p>
        </w:tc>
        <w:tc>
          <w:tcPr>
            <w:tcW w:type="pct" w:w="36%"/>
            <w:tcMar>
              <w:top w:type="dxa" w:w="30"/>
              <w:left w:type="dxa" w:w="60"/>
              <w:bottom w:type="dxa" w:w="30"/>
              <w:right w:type="dxa" w:w="60"/>
            </w:tcMar>
          </w:tcPr>
          <w:p>
            <w:r>
              <w:rPr>
                <w:rFonts w:ascii="Yu Gothic" w:cs="Yu Gothic" w:eastAsia="Yu Gothic" w:hAnsi="Yu Gothic"/>
                <w:b w:val="false"/>
                <w:bCs w:val="false"/>
                <w:sz w:val="15"/>
                <w:szCs w:val="15"/>
              </w:rPr>
              <w:t xml:space="preserve">のれんを計上している場合、事業計画の未達・取得時の想定からの乖離など減損の兆候の有無を検討する。当パッケージは減損の判定を行わない。</w:t>
            </w:r>
          </w:p>
        </w:tc>
      </w:tr>
      <w:tr>
        <w:tc>
          <w:tcPr>
            <w:tcW w:type="pct" w:w="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C-12</w:t>
            </w:r>
          </w:p>
        </w:tc>
        <w:tc>
          <w:tcPr>
            <w:tcW w:type="pct" w:w="4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持分法適用会社の実質価額の著しい低下の有無を検討した</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要確認</w:t>
            </w:r>
          </w:p>
        </w:tc>
        <w:tc>
          <w:tcPr>
            <w:tcW w:type="pct" w:w="3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持分法適用会社に当期純損失が生じている場合、投資の実質価額が著しく低下していないかを検討する（超過損失の処理とは別の論点）。当パッケージは減損の判定を行わない。</w:t>
            </w:r>
          </w:p>
        </w:tc>
      </w:tr>
    </w:tbl>
    <w:p>
      <w:pPr>
        <w:pStyle w:val="Heading1"/>
        <w:spacing w:after="90" w:before="240"/>
      </w:pPr>
      <w:r>
        <w:rPr>
          <w:rFonts w:ascii="Yu Gothic" w:cs="Yu Gothic" w:eastAsia="Yu Gothic" w:hAnsi="Yu Gothic"/>
          <w:b/>
          <w:bCs/>
          <w:color w:val="24406B"/>
        </w:rPr>
        <w:t xml:space="preserve">採用している会計方針</w:t>
      </w:r>
    </w:p>
    <w:p>
      <w:pPr>
        <w:spacing w:after="60"/>
      </w:pPr>
      <w:r>
        <w:rPr>
          <w:rFonts w:ascii="Yu Gothic" w:cs="Yu Gothic" w:eastAsia="Yu Gothic" w:hAnsi="Yu Gothic"/>
          <w:b w:val="false"/>
          <w:bCs w:val="false"/>
          <w:color w:val="6B7280"/>
          <w:sz w:val="17"/>
          <w:szCs w:val="17"/>
        </w:rPr>
        <w:t xml:space="preserve">・期首棚卸資産に含まれる未実現利益は、当期に実現したものとして戻し入れています（前期の売上総利益率を用います）。</w:t>
      </w:r>
    </w:p>
    <w:p>
      <w:pPr>
        <w:pStyle w:val="Heading1"/>
        <w:spacing w:after="90" w:before="240"/>
      </w:pPr>
      <w:r>
        <w:rPr>
          <w:rFonts w:ascii="Yu Gothic" w:cs="Yu Gothic" w:eastAsia="Yu Gothic" w:hAnsi="Yu Gothic"/>
          <w:b/>
          <w:bCs/>
          <w:color w:val="24406B"/>
        </w:rPr>
        <w:t xml:space="preserve">本バージョンで扱っていない事項</w:t>
      </w:r>
    </w:p>
    <w:p>
      <w:pPr>
        <w:spacing w:after="60"/>
      </w:pPr>
      <w:r>
        <w:rPr>
          <w:rFonts w:ascii="Yu Gothic" w:cs="Yu Gothic" w:eastAsia="Yu Gothic" w:hAnsi="Yu Gothic"/>
          <w:b w:val="false"/>
          <w:bCs w:val="false"/>
          <w:color w:val="6B7280"/>
          <w:sz w:val="17"/>
          <w:szCs w:val="17"/>
        </w:rPr>
        <w:t xml:space="preserve">・未実現損益消去等の連結修正に対する繰延税金の計上は本パッケージに含まれていません（税理士確認事項）。連結の会計処理のみを扱います。</w:t>
      </w:r>
    </w:p>
    <w:p>
      <w:pPr>
        <w:spacing w:after="60"/>
      </w:pPr>
      <w:r>
        <w:rPr>
          <w:rFonts w:ascii="Yu Gothic" w:cs="Yu Gothic" w:eastAsia="Yu Gothic" w:hAnsi="Yu Gothic"/>
          <w:b w:val="false"/>
          <w:bCs w:val="false"/>
          <w:color w:val="6B7280"/>
          <w:sz w:val="17"/>
          <w:szCs w:val="17"/>
        </w:rPr>
        <w:t xml:space="preserve">・持分法適用会社に係るのれん相当額の償却は本バージョンでは扱っていません。</w:t>
      </w:r>
    </w:p>
    <w:p>
      <w:pPr>
        <w:spacing w:after="60"/>
      </w:pPr>
      <w:r>
        <w:rPr>
          <w:rFonts w:ascii="Yu Gothic" w:cs="Yu Gothic" w:eastAsia="Yu Gothic" w:hAnsi="Yu Gothic"/>
          <w:b w:val="false"/>
          <w:bCs w:val="false"/>
          <w:color w:val="6B7280"/>
          <w:sz w:val="17"/>
          <w:szCs w:val="17"/>
        </w:rPr>
        <w:t xml:space="preserve">・持分法で損失の取込を投資簿価ゼロで打ち切った場合、認識しなかった損失を翌期へ繰り越す仕組みは本バージョンにはありません（翌期の取込前に手当てが必要です）。</w:t>
      </w:r>
    </w:p>
    <w:p>
      <w:pPr>
        <w:spacing w:after="60"/>
      </w:pPr>
      <w:r>
        <w:rPr>
          <w:rFonts w:ascii="Yu Gothic" w:cs="Yu Gothic" w:eastAsia="Yu Gothic" w:hAnsi="Yu Gothic"/>
          <w:b w:val="false"/>
          <w:bCs w:val="false"/>
          <w:color w:val="6B7280"/>
          <w:sz w:val="17"/>
          <w:szCs w:val="17"/>
        </w:rPr>
        <w:t xml:space="preserve">・持分法適用会社との取引に含まれる未実現損益の消去は本バージョンでは扱っていません（該当取引がある場合は別途検討が必要です）。</w:t>
      </w:r>
    </w:p>
    <w:p>
      <w:pPr>
        <w:spacing w:after="60"/>
      </w:pPr>
      <w:r>
        <w:rPr>
          <w:rFonts w:ascii="Yu Gothic" w:cs="Yu Gothic" w:eastAsia="Yu Gothic" w:hAnsi="Yu Gothic"/>
          <w:b w:val="false"/>
          <w:bCs w:val="false"/>
          <w:color w:val="6B7280"/>
          <w:sz w:val="17"/>
          <w:szCs w:val="17"/>
        </w:rPr>
        <w:t xml:space="preserve">・棚卸資産以外（固定資産等）のグループ内売買に含まれる未実現損益の消去は本バージョンでは扱っていません（該当取引がある場合は別途検討が必要です）。</w:t>
      </w:r>
    </w:p>
    <w:p>
      <w:pPr>
        <w:spacing w:after="60"/>
      </w:pPr>
      <w:r>
        <w:rPr>
          <w:rFonts w:ascii="Yu Gothic" w:cs="Yu Gothic" w:eastAsia="Yu Gothic" w:hAnsi="Yu Gothic"/>
          <w:b w:val="false"/>
          <w:bCs w:val="false"/>
          <w:color w:val="6B7280"/>
          <w:sz w:val="17"/>
          <w:szCs w:val="17"/>
        </w:rPr>
        <w:t xml:space="preserve">・支配獲得日における子会社の資産及び負債の時価評価（評価差額の計上）は本バージョンでは扱っていません。のれんは取得時の簿価による資本との差額として算定しています。</w:t>
      </w:r>
    </w:p>
    <w:p>
      <w:pPr>
        <w:spacing w:after="60"/>
      </w:pPr>
      <w:r>
        <w:rPr>
          <w:rFonts w:ascii="Yu Gothic" w:cs="Yu Gothic" w:eastAsia="Yu Gothic" w:hAnsi="Yu Gothic"/>
          <w:b w:val="false"/>
          <w:bCs w:val="false"/>
          <w:color w:val="6B7280"/>
          <w:sz w:val="17"/>
          <w:szCs w:val="17"/>
        </w:rPr>
        <w:t xml:space="preserve">・在外子会社の換算、連結キャッシュ・フロー計算書、連結株主資本等変動計算書は本バージョンの対象外です。</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color w:val="6B7280"/>
        <w:sz w:val="14"/>
        <w:szCs w:val="14"/>
      </w:rPr>
      <w:t xml:space="preserve">サンプルソフトウェア株式会社　連結決算パッケージ　／　</w:t>
    </w:r>
    <w:r>
      <w:rPr>
        <w:rFonts w:ascii="Yu Gothic" w:cs="Yu Gothic" w:eastAsia="Yu Gothic" w:hAnsi="Yu Gothic"/>
        <w:color w:val="6B7280"/>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サンプルソフトウェア株式会社 連結決算パッケージ</dc:title>
  <dc:creator>BENTO — 会計士 × AI</dc:creator>
  <cp:lastModifiedBy>Un-named</cp:lastModifiedBy>
  <cp:revision>1</cp:revision>
  <dcterms:created xsi:type="dcterms:W3CDTF">2026-09-25T04:12:17.216Z</dcterms:created>
  <dcterms:modified xsi:type="dcterms:W3CDTF">2026-09-25T04:12:17.216Z</dcterms:modified>
</cp:coreProperties>
</file>

<file path=docProps/custom.xml><?xml version="1.0" encoding="utf-8"?>
<Properties xmlns="http://schemas.openxmlformats.org/officeDocument/2006/custom-properties" xmlns:vt="http://schemas.openxmlformats.org/officeDocument/2006/docPropsVTypes"/>
</file>