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0"/>
          <w:szCs w:val="30"/>
        </w:rPr>
        <w:t xml:space="preserve">サンプルSaaS株式会社</w:t>
      </w:r>
    </w:p>
    <w:p>
      <w:pPr>
        <w:spacing w:after="20"/>
        <w:jc w:val="center"/>
      </w:pPr>
      <w:r>
        <w:rPr>
          <w:rFonts w:ascii="Yu Gothic" w:cs="Yu Gothic" w:eastAsia="Yu Gothic" w:hAnsi="Yu Gothic"/>
          <w:sz w:val="20"/>
          <w:szCs w:val="20"/>
        </w:rPr>
        <w:t xml:space="preserve">資本政策パッケージ　／　シリーズB・上場準備（2026年3月期）</w:t>
      </w:r>
    </w:p>
    <w:p>
      <w:pPr>
        <w:spacing w:after="160"/>
        <w:jc w:val="center"/>
      </w:pPr>
      <w:r>
        <w:rPr>
          <w:rFonts w:ascii="Yu Gothic" w:cs="Yu Gothic" w:eastAsia="Yu Gothic" w:hAnsi="Yu Gothic"/>
          <w:color w:val="8A8170"/>
          <w:sz w:val="15"/>
          <w:szCs w:val="15"/>
        </w:rPr>
        <w:t xml:space="preserve">AI生成ドラフト・会計士レビュー前提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4"/>
                <w:szCs w:val="14"/>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承認者</w:t>
            </w:r>
          </w:p>
        </w:tc>
        <w:tc>
          <w:tcPr>
            <w:tcW w:type="pct" w:w="32%"/>
            <w:tcMar>
              <w:top w:type="dxa" w:w="30"/>
              <w:left w:type="dxa" w:w="60"/>
              <w:bottom w:type="dxa" w:w="30"/>
              <w:right w:type="dxa" w:w="60"/>
            </w:tcMar>
          </w:tcPr>
          <w:p>
            <w:r>
              <w:rPr>
                <w:rFonts w:ascii="Yu Gothic" w:cs="Yu Gothic" w:eastAsia="Yu Gothic" w:hAnsi="Yu Gothic"/>
                <w:b w:val="false"/>
                <w:bCs w:val="false"/>
                <w:sz w:val="14"/>
                <w:szCs w:val="14"/>
              </w:rPr>
              <w:t xml:space="preserve"/>
            </w:r>
          </w:p>
        </w:tc>
      </w:tr>
    </w:tbl>
    <w:p>
      <w:pPr>
        <w:pStyle w:val="Heading1"/>
        <w:spacing w:after="80" w:before="280"/>
      </w:pPr>
      <w:r>
        <w:rPr>
          <w:rFonts w:ascii="Yu Gothic" w:cs="Yu Gothic" w:eastAsia="Yu Gothic" w:hAnsi="Yu Gothic"/>
          <w:b/>
          <w:bCs/>
        </w:rPr>
        <w:t xml:space="preserve">1. 概要</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tblGrid>
      <w:tr>
        <w:tc>
          <w:tcPr>
            <w:tcW w:type="pct" w:w="2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目的</w:t>
            </w:r>
          </w:p>
        </w:tc>
        <w:tc>
          <w:tcPr>
            <w:tcW w:type="pct" w:w="78%"/>
            <w:tcMar>
              <w:top w:type="dxa" w:w="30"/>
              <w:left w:type="dxa" w:w="60"/>
              <w:bottom w:type="dxa" w:w="30"/>
              <w:right w:type="dxa" w:w="60"/>
            </w:tcMar>
          </w:tcPr>
          <w:p>
            <w:r>
              <w:rPr>
                <w:rFonts w:ascii="Yu Gothic" w:cs="Yu Gothic" w:eastAsia="Yu Gothic" w:hAnsi="Yu Gothic"/>
                <w:b w:val="false"/>
                <w:bCs w:val="false"/>
                <w:sz w:val="14"/>
                <w:szCs w:val="14"/>
              </w:rPr>
              <w:t xml:space="preserve">ARR成長と資本効率を両立しつつ、IPOに向けた健全な資本構成・ガバナンス・インセンティブ設計を整備する。優先株・SOの整理と希薄化管理を通じて上場審査に耐える資本政策を構築する。</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範囲</w:t>
            </w:r>
          </w:p>
        </w:tc>
        <w:tc>
          <w:tcPr>
            <w:tcW w:type="pct" w:w="78%"/>
            <w:tcMar>
              <w:top w:type="dxa" w:w="30"/>
              <w:left w:type="dxa" w:w="60"/>
              <w:bottom w:type="dxa" w:w="30"/>
              <w:right w:type="dxa" w:w="60"/>
            </w:tcMar>
          </w:tcPr>
          <w:p>
            <w:r>
              <w:rPr>
                <w:rFonts w:ascii="Yu Gothic" w:cs="Yu Gothic" w:eastAsia="Yu Gothic" w:hAnsi="Yu Gothic"/>
                <w:b w:val="false"/>
                <w:bCs w:val="false"/>
                <w:sz w:val="14"/>
                <w:szCs w:val="14"/>
              </w:rPr>
              <w:t xml:space="preserve">既存資本構成（普通株・A種/B種優先株・SO）の棚卸し、シリーズB調達設計、税制適格SOプール再設計、種類株のIPO時普通株転換、少数株主・安定株主対策、資本コスト/希薄化のモニタリングを対象とする。</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目標イベント</w:t>
            </w:r>
          </w:p>
        </w:tc>
        <w:tc>
          <w:tcPr>
            <w:tcW w:type="pct" w:w="78%"/>
            <w:tcMar>
              <w:top w:type="dxa" w:w="30"/>
              <w:left w:type="dxa" w:w="60"/>
              <w:bottom w:type="dxa" w:w="30"/>
              <w:right w:type="dxa" w:w="60"/>
            </w:tcMar>
          </w:tcPr>
          <w:p>
            <w:r>
              <w:rPr>
                <w:rFonts w:ascii="Yu Gothic" w:cs="Yu Gothic" w:eastAsia="Yu Gothic" w:hAnsi="Yu Gothic"/>
                <w:b w:val="false"/>
                <w:bCs w:val="false"/>
                <w:sz w:val="14"/>
                <w:szCs w:val="14"/>
              </w:rPr>
              <w:t xml:space="preserve">2〜3年内の東証グロース市場上場（IPO）を主要イベントとして想定。シリーズBはIPO前最終ラウンドの位置づけ。</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進め方</w:t>
            </w:r>
          </w:p>
        </w:tc>
        <w:tc>
          <w:tcPr>
            <w:tcW w:type="pct" w:w="78%"/>
            <w:tcMar>
              <w:top w:type="dxa" w:w="30"/>
              <w:left w:type="dxa" w:w="60"/>
              <w:bottom w:type="dxa" w:w="30"/>
              <w:right w:type="dxa" w:w="60"/>
            </w:tcMar>
          </w:tcPr>
          <w:p>
            <w:r>
              <w:rPr>
                <w:rFonts w:ascii="Yu Gothic" w:cs="Yu Gothic" w:eastAsia="Yu Gothic" w:hAnsi="Yu Gothic"/>
                <w:b w:val="false"/>
                <w:bCs w:val="false"/>
                <w:sz w:val="14"/>
                <w:szCs w:val="14"/>
              </w:rPr>
              <w:t xml:space="preserve">会計士レビュー前提のドラフトとして、IFRS15/実務対応報告第17号に沿った収益認識・KPI（ARR/MRR/チャーン/LTV/CAC）と整合する企業価値前提でラウンド設計。希薄化シミュレーションと税務（税制適格SO要件・種類株転換）を併走させる。</w:t>
            </w:r>
          </w:p>
        </w:tc>
      </w:tr>
    </w:tbl>
    <w:p>
      <w:pPr>
        <w:pStyle w:val="Heading1"/>
        <w:spacing w:after="80" w:before="280"/>
      </w:pPr>
      <w:r>
        <w:rPr>
          <w:rFonts w:ascii="Yu Gothic" w:cs="Yu Gothic" w:eastAsia="Yu Gothic" w:hAnsi="Yu Gothic"/>
          <w:b/>
          <w:bCs/>
        </w:rPr>
        <w:t xml:space="preserve">2. 資本構成表（cap table）</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24%"/>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株主区分</w:t>
            </w:r>
          </w:p>
        </w:tc>
        <w:tc>
          <w:tcPr>
            <w:tcW w:type="pct" w:w="2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種類</w:t>
            </w:r>
          </w:p>
        </w:tc>
        <w:tc>
          <w:tcPr>
            <w:tcW w:type="pct" w:w="16%"/>
            <w:shd w:fill="ECE4D2" w:color="auto" w:val="clear"/>
            <w:tcMar>
              <w:top w:type="dxa" w:w="30"/>
              <w:left w:type="dxa" w:w="60"/>
              <w:bottom w:type="dxa" w:w="30"/>
              <w:right w:type="dxa" w:w="60"/>
            </w:tcMar>
          </w:tcPr>
          <w:p>
            <w:pPr>
              <w:jc w:val="right"/>
            </w:pPr>
            <w:r>
              <w:rPr>
                <w:rFonts w:ascii="Yu Gothic" w:cs="Yu Gothic" w:eastAsia="Yu Gothic" w:hAnsi="Yu Gothic"/>
                <w:b/>
                <w:bCs/>
                <w:sz w:val="14"/>
                <w:szCs w:val="14"/>
              </w:rPr>
              <w:t xml:space="preserve">株式数</w:t>
            </w:r>
          </w:p>
        </w:tc>
        <w:tc>
          <w:tcPr>
            <w:tcW w:type="pct" w:w="12%"/>
            <w:shd w:fill="ECE4D2" w:color="auto" w:val="clear"/>
            <w:tcMar>
              <w:top w:type="dxa" w:w="30"/>
              <w:left w:type="dxa" w:w="60"/>
              <w:bottom w:type="dxa" w:w="30"/>
              <w:right w:type="dxa" w:w="60"/>
            </w:tcMar>
          </w:tcPr>
          <w:p>
            <w:pPr>
              <w:jc w:val="right"/>
            </w:pPr>
            <w:r>
              <w:rPr>
                <w:rFonts w:ascii="Yu Gothic" w:cs="Yu Gothic" w:eastAsia="Yu Gothic" w:hAnsi="Yu Gothic"/>
                <w:b/>
                <w:bCs/>
                <w:sz w:val="14"/>
                <w:szCs w:val="14"/>
              </w:rPr>
              <w:t xml:space="preserve">比率</w:t>
            </w:r>
          </w:p>
        </w:tc>
        <w:tc>
          <w:tcPr>
            <w:tcW w:type="pct" w:w="2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備考</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創業者（CEO）</w:t>
            </w:r>
          </w:p>
        </w:tc>
        <w:tc>
          <w:tcPr>
            <w:tcW w:type="pct" w:w="20%"/>
            <w:tcMar>
              <w:top w:type="dxa" w:w="30"/>
              <w:left w:type="dxa" w:w="60"/>
              <w:bottom w:type="dxa" w:w="30"/>
              <w:right w:type="dxa" w:w="60"/>
            </w:tcMar>
          </w:tcPr>
          <w:p>
            <w:r>
              <w:rPr>
                <w:rFonts w:ascii="Yu Gothic" w:cs="Yu Gothic" w:eastAsia="Yu Gothic" w:hAnsi="Yu Gothic"/>
                <w:b w:val="false"/>
                <w:bCs w:val="false"/>
                <w:sz w:val="14"/>
                <w:szCs w:val="14"/>
              </w:rPr>
              <w:t xml:space="preserve">普通株式</w:t>
            </w:r>
          </w:p>
        </w:tc>
        <w:tc>
          <w:tcPr>
            <w:tcW w:type="pct" w:w="16%"/>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4,000,000</w:t>
            </w:r>
          </w:p>
        </w:tc>
        <w:tc>
          <w:tcPr>
            <w:tcW w:type="pct" w:w="12%"/>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40.0%</w:t>
            </w:r>
          </w:p>
        </w:tc>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代表取締役。安定株主の中核。ロックアップ・継続保有が審査前提。</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共同創業者（CTO）</w:t>
            </w:r>
          </w:p>
        </w:tc>
        <w:tc>
          <w:tcPr>
            <w:tcW w:type="pct" w:w="20%"/>
            <w:tcMar>
              <w:top w:type="dxa" w:w="30"/>
              <w:left w:type="dxa" w:w="60"/>
              <w:bottom w:type="dxa" w:w="30"/>
              <w:right w:type="dxa" w:w="60"/>
            </w:tcMar>
          </w:tcPr>
          <w:p>
            <w:r>
              <w:rPr>
                <w:rFonts w:ascii="Yu Gothic" w:cs="Yu Gothic" w:eastAsia="Yu Gothic" w:hAnsi="Yu Gothic"/>
                <w:b w:val="false"/>
                <w:bCs w:val="false"/>
                <w:sz w:val="14"/>
                <w:szCs w:val="14"/>
              </w:rPr>
              <w:t xml:space="preserve">普通株式</w:t>
            </w:r>
          </w:p>
        </w:tc>
        <w:tc>
          <w:tcPr>
            <w:tcW w:type="pct" w:w="16%"/>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1,500,000</w:t>
            </w:r>
          </w:p>
        </w:tc>
        <w:tc>
          <w:tcPr>
            <w:tcW w:type="pct" w:w="12%"/>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15.0%</w:t>
            </w:r>
          </w:p>
        </w:tc>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プロダクト/開発責任。創業者間契約・買戻条項の確認要。</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シリーズA投資家（VC-1）</w:t>
            </w:r>
          </w:p>
        </w:tc>
        <w:tc>
          <w:tcPr>
            <w:tcW w:type="pct" w:w="20%"/>
            <w:tcMar>
              <w:top w:type="dxa" w:w="30"/>
              <w:left w:type="dxa" w:w="60"/>
              <w:bottom w:type="dxa" w:w="30"/>
              <w:right w:type="dxa" w:w="60"/>
            </w:tcMar>
          </w:tcPr>
          <w:p>
            <w:r>
              <w:rPr>
                <w:rFonts w:ascii="Yu Gothic" w:cs="Yu Gothic" w:eastAsia="Yu Gothic" w:hAnsi="Yu Gothic"/>
                <w:b w:val="false"/>
                <w:bCs w:val="false"/>
                <w:sz w:val="14"/>
                <w:szCs w:val="14"/>
              </w:rPr>
              <w:t xml:space="preserve">種類株式（優先）</w:t>
            </w:r>
          </w:p>
        </w:tc>
        <w:tc>
          <w:tcPr>
            <w:tcW w:type="pct" w:w="16%"/>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1,500,000</w:t>
            </w:r>
          </w:p>
        </w:tc>
        <w:tc>
          <w:tcPr>
            <w:tcW w:type="pct" w:w="12%"/>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15.0%</w:t>
            </w:r>
          </w:p>
        </w:tc>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A種優先株。1倍非参加型・残余財産優先を想定。IPO時普通株転換。</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シリーズB投資家（VC-2）</w:t>
            </w:r>
          </w:p>
        </w:tc>
        <w:tc>
          <w:tcPr>
            <w:tcW w:type="pct" w:w="20%"/>
            <w:tcMar>
              <w:top w:type="dxa" w:w="30"/>
              <w:left w:type="dxa" w:w="60"/>
              <w:bottom w:type="dxa" w:w="30"/>
              <w:right w:type="dxa" w:w="60"/>
            </w:tcMar>
          </w:tcPr>
          <w:p>
            <w:r>
              <w:rPr>
                <w:rFonts w:ascii="Yu Gothic" w:cs="Yu Gothic" w:eastAsia="Yu Gothic" w:hAnsi="Yu Gothic"/>
                <w:b w:val="false"/>
                <w:bCs w:val="false"/>
                <w:sz w:val="14"/>
                <w:szCs w:val="14"/>
              </w:rPr>
              <w:t xml:space="preserve">種類株式（優先）</w:t>
            </w:r>
          </w:p>
        </w:tc>
        <w:tc>
          <w:tcPr>
            <w:tcW w:type="pct" w:w="16%"/>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1,200,000</w:t>
            </w:r>
          </w:p>
        </w:tc>
        <w:tc>
          <w:tcPr>
            <w:tcW w:type="pct" w:w="12%"/>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12.0%</w:t>
            </w:r>
          </w:p>
        </w:tc>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B種優先株。本ラウンドで発行。優先順位はA種に劣後しない設計を整理。</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エンジェル/初期投資家</w:t>
            </w:r>
          </w:p>
        </w:tc>
        <w:tc>
          <w:tcPr>
            <w:tcW w:type="pct" w:w="20%"/>
            <w:tcMar>
              <w:top w:type="dxa" w:w="30"/>
              <w:left w:type="dxa" w:w="60"/>
              <w:bottom w:type="dxa" w:w="30"/>
              <w:right w:type="dxa" w:w="60"/>
            </w:tcMar>
          </w:tcPr>
          <w:p>
            <w:r>
              <w:rPr>
                <w:rFonts w:ascii="Yu Gothic" w:cs="Yu Gothic" w:eastAsia="Yu Gothic" w:hAnsi="Yu Gothic"/>
                <w:b w:val="false"/>
                <w:bCs w:val="false"/>
                <w:sz w:val="14"/>
                <w:szCs w:val="14"/>
              </w:rPr>
              <w:t xml:space="preserve">普通株式</w:t>
            </w:r>
          </w:p>
        </w:tc>
        <w:tc>
          <w:tcPr>
            <w:tcW w:type="pct" w:w="16%"/>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500,000</w:t>
            </w:r>
          </w:p>
        </w:tc>
        <w:tc>
          <w:tcPr>
            <w:tcW w:type="pct" w:w="12%"/>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5.0%</w:t>
            </w:r>
          </w:p>
        </w:tc>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創業初期出資。少数株主。</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従業員（行使済SO）</w:t>
            </w:r>
          </w:p>
        </w:tc>
        <w:tc>
          <w:tcPr>
            <w:tcW w:type="pct" w:w="20%"/>
            <w:tcMar>
              <w:top w:type="dxa" w:w="30"/>
              <w:left w:type="dxa" w:w="60"/>
              <w:bottom w:type="dxa" w:w="30"/>
              <w:right w:type="dxa" w:w="60"/>
            </w:tcMar>
          </w:tcPr>
          <w:p>
            <w:r>
              <w:rPr>
                <w:rFonts w:ascii="Yu Gothic" w:cs="Yu Gothic" w:eastAsia="Yu Gothic" w:hAnsi="Yu Gothic"/>
                <w:b w:val="false"/>
                <w:bCs w:val="false"/>
                <w:sz w:val="14"/>
                <w:szCs w:val="14"/>
              </w:rPr>
              <w:t xml:space="preserve">普通株式</w:t>
            </w:r>
          </w:p>
        </w:tc>
        <w:tc>
          <w:tcPr>
            <w:tcW w:type="pct" w:w="16%"/>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300,000</w:t>
            </w:r>
          </w:p>
        </w:tc>
        <w:tc>
          <w:tcPr>
            <w:tcW w:type="pct" w:w="12%"/>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3.0%</w:t>
            </w:r>
          </w:p>
        </w:tc>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過年度付与SOの行使分。</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SOプール（未行使）</w:t>
            </w:r>
          </w:p>
        </w:tc>
        <w:tc>
          <w:tcPr>
            <w:tcW w:type="pct" w:w="20%"/>
            <w:tcMar>
              <w:top w:type="dxa" w:w="30"/>
              <w:left w:type="dxa" w:w="60"/>
              <w:bottom w:type="dxa" w:w="30"/>
              <w:right w:type="dxa" w:w="60"/>
            </w:tcMar>
          </w:tcPr>
          <w:p>
            <w:r>
              <w:rPr>
                <w:rFonts w:ascii="Yu Gothic" w:cs="Yu Gothic" w:eastAsia="Yu Gothic" w:hAnsi="Yu Gothic"/>
                <w:b w:val="false"/>
                <w:bCs w:val="false"/>
                <w:sz w:val="14"/>
                <w:szCs w:val="14"/>
              </w:rPr>
              <w:t xml:space="preserve">新株予約権（SO）</w:t>
            </w:r>
          </w:p>
        </w:tc>
        <w:tc>
          <w:tcPr>
            <w:tcW w:type="pct" w:w="16%"/>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1,000,000</w:t>
            </w:r>
          </w:p>
        </w:tc>
        <w:tc>
          <w:tcPr>
            <w:tcW w:type="pct" w:w="12%"/>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10.0%</w:t>
            </w:r>
          </w:p>
        </w:tc>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税制適格SO中心。上場時想定希薄化10%。追加付与枠を含む。</w:t>
            </w:r>
          </w:p>
        </w:tc>
      </w:tr>
      <w:tr>
        <w:tc>
          <w:tcPr>
            <w:tcW w:type="pct" w:w="24%"/>
            <w:tcMar>
              <w:top w:type="dxa" w:w="30"/>
              <w:left w:type="dxa" w:w="60"/>
              <w:bottom w:type="dxa" w:w="30"/>
              <w:right w:type="dxa" w:w="60"/>
            </w:tcMar>
          </w:tcPr>
          <w:p>
            <w:r>
              <w:rPr>
                <w:rFonts w:ascii="Yu Gothic" w:cs="Yu Gothic" w:eastAsia="Yu Gothic" w:hAnsi="Yu Gothic"/>
                <w:b w:val="false"/>
                <w:bCs w:val="false"/>
                <w:sz w:val="14"/>
                <w:szCs w:val="14"/>
              </w:rPr>
              <w:t xml:space="preserve">自己株式/その他</w:t>
            </w:r>
          </w:p>
        </w:tc>
        <w:tc>
          <w:tcPr>
            <w:tcW w:type="pct" w:w="20%"/>
            <w:tcMar>
              <w:top w:type="dxa" w:w="30"/>
              <w:left w:type="dxa" w:w="60"/>
              <w:bottom w:type="dxa" w:w="30"/>
              <w:right w:type="dxa" w:w="60"/>
            </w:tcMar>
          </w:tcPr>
          <w:p>
            <w:r>
              <w:rPr>
                <w:rFonts w:ascii="Yu Gothic" w:cs="Yu Gothic" w:eastAsia="Yu Gothic" w:hAnsi="Yu Gothic"/>
                <w:b w:val="false"/>
                <w:bCs w:val="false"/>
                <w:sz w:val="14"/>
                <w:szCs w:val="14"/>
              </w:rPr>
              <w:t xml:space="preserve">その他</w:t>
            </w:r>
          </w:p>
        </w:tc>
        <w:tc>
          <w:tcPr>
            <w:tcW w:type="pct" w:w="16%"/>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0</w:t>
            </w:r>
          </w:p>
        </w:tc>
        <w:tc>
          <w:tcPr>
            <w:tcW w:type="pct" w:w="12%"/>
            <w:tcMar>
              <w:top w:type="dxa" w:w="30"/>
              <w:left w:type="dxa" w:w="60"/>
              <w:bottom w:type="dxa" w:w="30"/>
              <w:right w:type="dxa" w:w="60"/>
            </w:tcMar>
          </w:tcPr>
          <w:p>
            <w:pPr>
              <w:jc w:val="right"/>
            </w:pPr>
            <w:r>
              <w:rPr>
                <w:rFonts w:ascii="Yu Gothic" w:cs="Yu Gothic" w:eastAsia="Yu Gothic" w:hAnsi="Yu Gothic"/>
                <w:b w:val="false"/>
                <w:bCs w:val="false"/>
                <w:sz w:val="14"/>
                <w:szCs w:val="14"/>
              </w:rPr>
              <w:t xml:space="preserve">0.0%</w:t>
            </w:r>
          </w:p>
        </w:tc>
        <w:tc>
          <w:tcPr>
            <w:tcW w:type="pct" w:w="28%"/>
            <w:tcMar>
              <w:top w:type="dxa" w:w="30"/>
              <w:left w:type="dxa" w:w="60"/>
              <w:bottom w:type="dxa" w:w="30"/>
              <w:right w:type="dxa" w:w="60"/>
            </w:tcMar>
          </w:tcPr>
          <w:p>
            <w:r>
              <w:rPr>
                <w:rFonts w:ascii="Yu Gothic" w:cs="Yu Gothic" w:eastAsia="Yu Gothic" w:hAnsi="Yu Gothic"/>
                <w:b w:val="false"/>
                <w:bCs w:val="false"/>
                <w:sz w:val="14"/>
                <w:szCs w:val="14"/>
              </w:rPr>
              <w:t xml:space="preserve">現状なし。</w:t>
            </w:r>
          </w:p>
        </w:tc>
      </w:tr>
    </w:tbl>
    <w:p>
      <w:pPr>
        <w:spacing w:after="60"/>
      </w:pPr>
      <w:r>
        <w:rPr>
          <w:rFonts w:ascii="Yu Gothic" w:cs="Yu Gothic" w:eastAsia="Yu Gothic" w:hAnsi="Yu Gothic"/>
          <w:b w:val="false"/>
          <w:bCs w:val="false"/>
          <w:color w:val="8A8170"/>
          <w:sz w:val="16"/>
          <w:szCs w:val="16"/>
        </w:rPr>
        <w:t xml:space="preserve">（注）発行済株式総数を完全希薄化ベース10,000,000株と仮定した例示。比率は概算で、優先株は1:1転換前提。実数値は登記簿・株主名簿・新株予約権原簿との突合が必要（会計士レビュー前提）。</w:t>
      </w:r>
    </w:p>
    <w:p>
      <w:pPr>
        <w:pStyle w:val="Heading1"/>
        <w:spacing w:after="80" w:before="280"/>
      </w:pPr>
      <w:r>
        <w:rPr>
          <w:rFonts w:ascii="Yu Gothic" w:cs="Yu Gothic" w:eastAsia="Yu Gothic" w:hAnsi="Yu Gothic"/>
          <w:b/>
          <w:bCs/>
        </w:rPr>
        <w:t xml:space="preserve">3. 調達ラウンド設計</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gridCol w:w="100"/>
      </w:tblGrid>
      <w:tr>
        <w:trPr>
          <w:tblHeader/>
        </w:trPr>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ラウンド</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時期</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調達額</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プレ→ポスト</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手段</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投資家</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4"/>
                <w:szCs w:val="14"/>
              </w:rPr>
              <w:t xml:space="preserve">希薄化</w:t>
            </w:r>
          </w:p>
        </w:tc>
      </w:tr>
      <w:tr>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シード</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2021年頃</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約0.5億円</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約2.0億円→約2.5億円</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J-KISS/普通株</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エンジェル・初期VC</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約20%</w:t>
            </w:r>
          </w:p>
        </w:tc>
      </w:tr>
      <w:tr>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シリーズA</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2023年頃</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約3億円</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約12億円→約15億円</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A種優先株式</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VC-1（リード）</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約20%</w:t>
            </w:r>
          </w:p>
        </w:tc>
      </w:tr>
      <w:tr>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シリーズB（本ラウンド）</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2025〜2026年</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約10億円</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約40億円→約50億円</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B種優先株式</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VC-2（リード）＋既存フォロー</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約20%</w:t>
            </w:r>
          </w:p>
        </w:tc>
      </w:tr>
      <w:tr>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IPO</w:t>
            </w:r>
          </w:p>
        </w:tc>
        <w:tc>
          <w:tcPr>
            <w:tcW w:type="pct" w:w="10%"/>
            <w:tcMar>
              <w:top w:type="dxa" w:w="30"/>
              <w:left w:type="dxa" w:w="60"/>
              <w:bottom w:type="dxa" w:w="30"/>
              <w:right w:type="dxa" w:w="60"/>
            </w:tcMar>
          </w:tcPr>
          <w:p>
            <w:r>
              <w:rPr>
                <w:rFonts w:ascii="Yu Gothic" w:cs="Yu Gothic" w:eastAsia="Yu Gothic" w:hAnsi="Yu Gothic"/>
                <w:b w:val="false"/>
                <w:bCs w:val="false"/>
                <w:sz w:val="14"/>
                <w:szCs w:val="14"/>
              </w:rPr>
              <w:t xml:space="preserve">2027〜2028年想定</w:t>
            </w:r>
          </w:p>
        </w:tc>
        <w:tc>
          <w:tcPr>
            <w:tcW w:type="pct" w:w="12%"/>
            <w:tcMar>
              <w:top w:type="dxa" w:w="30"/>
              <w:left w:type="dxa" w:w="60"/>
              <w:bottom w:type="dxa" w:w="30"/>
              <w:right w:type="dxa" w:w="60"/>
            </w:tcMar>
          </w:tcPr>
          <w:p>
            <w:r>
              <w:rPr>
                <w:rFonts w:ascii="Yu Gothic" w:cs="Yu Gothic" w:eastAsia="Yu Gothic" w:hAnsi="Yu Gothic"/>
                <w:b w:val="false"/>
                <w:bCs w:val="false"/>
                <w:sz w:val="14"/>
                <w:szCs w:val="14"/>
              </w:rPr>
              <w:t xml:space="preserve">公募・売出（時価による）</w:t>
            </w:r>
          </w:p>
        </w:tc>
        <w:tc>
          <w:tcPr>
            <w:tcW w:type="pct" w:w="18%"/>
            <w:tcMar>
              <w:top w:type="dxa" w:w="30"/>
              <w:left w:type="dxa" w:w="60"/>
              <w:bottom w:type="dxa" w:w="30"/>
              <w:right w:type="dxa" w:w="60"/>
            </w:tcMar>
          </w:tcPr>
          <w:p>
            <w:r>
              <w:rPr>
                <w:rFonts w:ascii="Yu Gothic" w:cs="Yu Gothic" w:eastAsia="Yu Gothic" w:hAnsi="Yu Gothic"/>
                <w:b w:val="false"/>
                <w:bCs w:val="false"/>
                <w:sz w:val="14"/>
                <w:szCs w:val="14"/>
              </w:rPr>
              <w:t xml:space="preserve">市場評価→市場評価</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普通株式（種類株を普通株へ転換）</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公開市場</w:t>
            </w:r>
          </w:p>
        </w:tc>
        <w:tc>
          <w:tcPr>
            <w:tcW w:type="pct" w:w="16%"/>
            <w:tcMar>
              <w:top w:type="dxa" w:w="30"/>
              <w:left w:type="dxa" w:w="60"/>
              <w:bottom w:type="dxa" w:w="30"/>
              <w:right w:type="dxa" w:w="60"/>
            </w:tcMar>
          </w:tcPr>
          <w:p>
            <w:r>
              <w:rPr>
                <w:rFonts w:ascii="Yu Gothic" w:cs="Yu Gothic" w:eastAsia="Yu Gothic" w:hAnsi="Yu Gothic"/>
                <w:b w:val="false"/>
                <w:bCs w:val="false"/>
                <w:sz w:val="14"/>
                <w:szCs w:val="14"/>
              </w:rPr>
              <w:t xml:space="preserve">公募分の希薄化</w:t>
            </w:r>
          </w:p>
        </w:tc>
      </w:tr>
    </w:tbl>
    <w:p>
      <w:pPr>
        <w:pStyle w:val="Heading1"/>
        <w:spacing w:after="80" w:before="280"/>
      </w:pPr>
      <w:r>
        <w:rPr>
          <w:rFonts w:ascii="Yu Gothic" w:cs="Yu Gothic" w:eastAsia="Yu Gothic" w:hAnsi="Yu Gothic"/>
          <w:b/>
          <w:bCs/>
        </w:rPr>
        <w:t xml:space="preserve">4. 資本政策の論点</w:t>
      </w:r>
    </w:p>
    <w:p>
      <w:pPr>
        <w:pStyle w:val="Heading3"/>
        <w:spacing w:after="60" w:before="200"/>
      </w:pPr>
      <w:r>
        <w:rPr>
          <w:rFonts w:ascii="Yu Gothic" w:cs="Yu Gothic" w:eastAsia="Yu Gothic" w:hAnsi="Yu Gothic"/>
          <w:b/>
          <w:bCs/>
        </w:rPr>
        <w:t xml:space="preserve">T-01　優先株のIPO時普通株一括転換と条件整理（種類株）</w:t>
      </w:r>
    </w:p>
    <w:p>
      <w:pPr>
        <w:spacing w:after="60"/>
      </w:pPr>
      <w:r>
        <w:rPr>
          <w:rFonts w:ascii="Yu Gothic" w:cs="Yu Gothic" w:eastAsia="Yu Gothic" w:hAnsi="Yu Gothic"/>
          <w:b w:val="false"/>
          <w:bCs w:val="false"/>
          <w:sz w:val="18"/>
          <w:szCs w:val="18"/>
        </w:rPr>
        <w:t xml:space="preserve">現状：A種・B種優先株が併存。残余財産優先・希薄化防止条項あり。</w:t>
      </w:r>
    </w:p>
    <w:p>
      <w:pPr>
        <w:spacing w:after="60"/>
      </w:pPr>
      <w:r>
        <w:rPr>
          <w:rFonts w:ascii="Yu Gothic" w:cs="Yu Gothic" w:eastAsia="Yu Gothic" w:hAnsi="Yu Gothic"/>
          <w:b w:val="false"/>
          <w:bCs w:val="false"/>
          <w:sz w:val="18"/>
          <w:szCs w:val="18"/>
        </w:rPr>
        <w:t xml:space="preserve">方針・提案：上場申請までに全種類株を普通株へ転換する条項を定款・投資契約で明確化し、転換比率（原則1:1）と転換トリガー（適格IPO）を統一。参加/非参加・優先倍率の差異を事前に整理し審査リスクを低減。</w:t>
      </w:r>
    </w:p>
    <w:p>
      <w:pPr>
        <w:spacing w:after="60"/>
      </w:pPr>
      <w:r>
        <w:rPr>
          <w:rFonts w:ascii="Yu Gothic" w:cs="Yu Gothic" w:eastAsia="Yu Gothic" w:hAnsi="Yu Gothic"/>
          <w:b w:val="false"/>
          <w:bCs w:val="false"/>
          <w:sz w:val="18"/>
          <w:szCs w:val="18"/>
        </w:rPr>
        <w:t xml:space="preserve">会計・税務の留意：優先株は発行条件により負債/資本区分判定（IFRS）が必要。転換時の資本振替に留意。投資契約上の財産分配が課税関係に影響しうるため税務確認。</w:t>
      </w:r>
    </w:p>
    <w:p>
      <w:pPr>
        <w:spacing w:after="60"/>
      </w:pPr>
      <w:r>
        <w:rPr>
          <w:rFonts w:ascii="Yu Gothic" w:cs="Yu Gothic" w:eastAsia="Yu Gothic" w:hAnsi="Yu Gothic"/>
          <w:b w:val="false"/>
          <w:bCs w:val="false"/>
          <w:color w:val="8A8170"/>
          <w:sz w:val="16"/>
          <w:szCs w:val="16"/>
        </w:rPr>
        <w:t xml:space="preserve">根拠：会社法（種類株式）、上場審査における資本構成の単純化要請、IFRS（金融商品の負債資本区分）。</w:t>
      </w:r>
    </w:p>
    <w:p>
      <w:pPr>
        <w:pStyle w:val="Heading3"/>
        <w:spacing w:after="60" w:before="200"/>
      </w:pPr>
      <w:r>
        <w:rPr>
          <w:rFonts w:ascii="Yu Gothic" w:cs="Yu Gothic" w:eastAsia="Yu Gothic" w:hAnsi="Yu Gothic"/>
          <w:b/>
          <w:bCs/>
        </w:rPr>
        <w:t xml:space="preserve">T-02　税制適格SOの要件充足と権利行使価額（ストックオプション）</w:t>
      </w:r>
    </w:p>
    <w:p>
      <w:pPr>
        <w:spacing w:after="60"/>
      </w:pPr>
      <w:r>
        <w:rPr>
          <w:rFonts w:ascii="Yu Gothic" w:cs="Yu Gothic" w:eastAsia="Yu Gothic" w:hAnsi="Yu Gothic"/>
          <w:b w:val="false"/>
          <w:bCs w:val="false"/>
          <w:sz w:val="18"/>
          <w:szCs w:val="18"/>
        </w:rPr>
        <w:t xml:space="preserve">現状：SO制度整備済、未行使プール約10%。</w:t>
      </w:r>
    </w:p>
    <w:p>
      <w:pPr>
        <w:spacing w:after="60"/>
      </w:pPr>
      <w:r>
        <w:rPr>
          <w:rFonts w:ascii="Yu Gothic" w:cs="Yu Gothic" w:eastAsia="Yu Gothic" w:hAnsi="Yu Gothic"/>
          <w:b w:val="false"/>
          <w:bCs w:val="false"/>
          <w:sz w:val="18"/>
          <w:szCs w:val="18"/>
        </w:rPr>
        <w:t xml:space="preserve">方針・提案：権利行使価額を付与時時価以上に設定、年間行使価額1,200万円上限・保有期間等の適格要件を全付与で充足管理。付与契約・株主総会決議・付与対象者（社外高度人材含む）の要件を点検。</w:t>
      </w:r>
    </w:p>
    <w:p>
      <w:pPr>
        <w:spacing w:after="60"/>
      </w:pPr>
      <w:r>
        <w:rPr>
          <w:rFonts w:ascii="Yu Gothic" w:cs="Yu Gothic" w:eastAsia="Yu Gothic" w:hAnsi="Yu Gothic"/>
          <w:b w:val="false"/>
          <w:bCs w:val="false"/>
          <w:sz w:val="18"/>
          <w:szCs w:val="18"/>
        </w:rPr>
        <w:t xml:space="preserve">会計・税務の留意：税制適格なら付与時・権利行使時課税なし（譲渡時譲渡所得）。非適格は行使時給与課税。会計上はストック・オプション費用（公正価値）をPLに計上。</w:t>
      </w:r>
    </w:p>
    <w:p>
      <w:pPr>
        <w:spacing w:after="60"/>
      </w:pPr>
      <w:r>
        <w:rPr>
          <w:rFonts w:ascii="Yu Gothic" w:cs="Yu Gothic" w:eastAsia="Yu Gothic" w:hAnsi="Yu Gothic"/>
          <w:b w:val="false"/>
          <w:bCs w:val="false"/>
          <w:color w:val="8A8170"/>
          <w:sz w:val="16"/>
          <w:szCs w:val="16"/>
        </w:rPr>
        <w:t xml:space="preserve">根拠：租税特別措置法29条の2、ストック・オプション会計基準、2023年度税制改正（権利行使価額算定の明確化）。</w:t>
      </w:r>
    </w:p>
    <w:p>
      <w:pPr>
        <w:pStyle w:val="Heading3"/>
        <w:spacing w:after="60" w:before="200"/>
      </w:pPr>
      <w:r>
        <w:rPr>
          <w:rFonts w:ascii="Yu Gothic" w:cs="Yu Gothic" w:eastAsia="Yu Gothic" w:hAnsi="Yu Gothic"/>
          <w:b/>
          <w:bCs/>
        </w:rPr>
        <w:t xml:space="preserve">T-03　完全希薄化ベースの資本政策シミュレーション（希薄化管理）</w:t>
      </w:r>
    </w:p>
    <w:p>
      <w:pPr>
        <w:spacing w:after="60"/>
      </w:pPr>
      <w:r>
        <w:rPr>
          <w:rFonts w:ascii="Yu Gothic" w:cs="Yu Gothic" w:eastAsia="Yu Gothic" w:hAnsi="Yu Gothic"/>
          <w:b w:val="false"/>
          <w:bCs w:val="false"/>
          <w:sz w:val="18"/>
          <w:szCs w:val="18"/>
        </w:rPr>
        <w:t xml:space="preserve">現状：SOプール・優先株・新ラウンドが混在し希薄化把握が分散。</w:t>
      </w:r>
    </w:p>
    <w:p>
      <w:pPr>
        <w:spacing w:after="60"/>
      </w:pPr>
      <w:r>
        <w:rPr>
          <w:rFonts w:ascii="Yu Gothic" w:cs="Yu Gothic" w:eastAsia="Yu Gothic" w:hAnsi="Yu Gothic"/>
          <w:b w:val="false"/>
          <w:bCs w:val="false"/>
          <w:sz w:val="18"/>
          <w:szCs w:val="18"/>
        </w:rPr>
        <w:t xml:space="preserve">方針・提案：完全希薄化（fully-diluted）ベースで一元管理表を整備し、各ラウンド・SO付与・IPO公募の希薄化を時系列で可視化。創業者持株比率の下限目標（例：上場時2割以上）を設定。</w:t>
      </w:r>
    </w:p>
    <w:p>
      <w:pPr>
        <w:spacing w:after="60"/>
      </w:pPr>
      <w:r>
        <w:rPr>
          <w:rFonts w:ascii="Yu Gothic" w:cs="Yu Gothic" w:eastAsia="Yu Gothic" w:hAnsi="Yu Gothic"/>
          <w:b w:val="false"/>
          <w:bCs w:val="false"/>
          <w:sz w:val="18"/>
          <w:szCs w:val="18"/>
        </w:rPr>
        <w:t xml:space="preserve">会計・税務の留意：希薄化後EPS算定の前提となる潜在株式を網羅。新株予約権・転換証券の取扱いを開示と整合。</w:t>
      </w:r>
    </w:p>
    <w:p>
      <w:pPr>
        <w:spacing w:after="60"/>
      </w:pPr>
      <w:r>
        <w:rPr>
          <w:rFonts w:ascii="Yu Gothic" w:cs="Yu Gothic" w:eastAsia="Yu Gothic" w:hAnsi="Yu Gothic"/>
          <w:b w:val="false"/>
          <w:bCs w:val="false"/>
          <w:color w:val="8A8170"/>
          <w:sz w:val="16"/>
          <w:szCs w:val="16"/>
        </w:rPr>
        <w:t xml:space="preserve">根拠：1株当たり情報会計基準、上場審査の資本政策合理性。</w:t>
      </w:r>
    </w:p>
    <w:p>
      <w:pPr>
        <w:pStyle w:val="Heading3"/>
        <w:spacing w:after="60" w:before="200"/>
      </w:pPr>
      <w:r>
        <w:rPr>
          <w:rFonts w:ascii="Yu Gothic" w:cs="Yu Gothic" w:eastAsia="Yu Gothic" w:hAnsi="Yu Gothic"/>
          <w:b/>
          <w:bCs/>
        </w:rPr>
        <w:t xml:space="preserve">T-04　安定株主構成とロックアップ設計（安定株主）</w:t>
      </w:r>
    </w:p>
    <w:p>
      <w:pPr>
        <w:spacing w:after="60"/>
      </w:pPr>
      <w:r>
        <w:rPr>
          <w:rFonts w:ascii="Yu Gothic" w:cs="Yu Gothic" w:eastAsia="Yu Gothic" w:hAnsi="Yu Gothic"/>
          <w:b w:val="false"/>
          <w:bCs w:val="false"/>
          <w:sz w:val="18"/>
          <w:szCs w:val="18"/>
        </w:rPr>
        <w:t xml:space="preserve">現状：創業者・初期投資家中心。上場後の流動性と安定のバランス未確定。</w:t>
      </w:r>
    </w:p>
    <w:p>
      <w:pPr>
        <w:spacing w:after="60"/>
      </w:pPr>
      <w:r>
        <w:rPr>
          <w:rFonts w:ascii="Yu Gothic" w:cs="Yu Gothic" w:eastAsia="Yu Gothic" w:hAnsi="Yu Gothic"/>
          <w:b w:val="false"/>
          <w:bCs w:val="false"/>
          <w:sz w:val="18"/>
          <w:szCs w:val="18"/>
        </w:rPr>
        <w:t xml:space="preserve">方針・提案：創業者・役員・主要VCのロックアップ（90〜180日）を主幹事と調整し、上場後の安定株主比率を確保。資産管理会社の活用や持株会設置も検討。</w:t>
      </w:r>
    </w:p>
    <w:p>
      <w:pPr>
        <w:spacing w:after="60"/>
      </w:pPr>
      <w:r>
        <w:rPr>
          <w:rFonts w:ascii="Yu Gothic" w:cs="Yu Gothic" w:eastAsia="Yu Gothic" w:hAnsi="Yu Gothic"/>
          <w:b w:val="false"/>
          <w:bCs w:val="false"/>
          <w:sz w:val="18"/>
          <w:szCs w:val="18"/>
        </w:rPr>
        <w:t xml:space="preserve">会計・税務の留意：資産管理会社活用時は法人・個人の税務最適化を検討（会計士・税理士連携）。</w:t>
      </w:r>
    </w:p>
    <w:p>
      <w:pPr>
        <w:spacing w:after="60"/>
      </w:pPr>
      <w:r>
        <w:rPr>
          <w:rFonts w:ascii="Yu Gothic" w:cs="Yu Gothic" w:eastAsia="Yu Gothic" w:hAnsi="Yu Gothic"/>
          <w:b w:val="false"/>
          <w:bCs w:val="false"/>
          <w:color w:val="8A8170"/>
          <w:sz w:val="16"/>
          <w:szCs w:val="16"/>
        </w:rPr>
        <w:t xml:space="preserve">根拠：取引所のロックアップ実務、有報・適時開示の主要株主情報。</w:t>
      </w:r>
    </w:p>
    <w:p>
      <w:pPr>
        <w:pStyle w:val="Heading3"/>
        <w:spacing w:after="60" w:before="200"/>
      </w:pPr>
      <w:r>
        <w:rPr>
          <w:rFonts w:ascii="Yu Gothic" w:cs="Yu Gothic" w:eastAsia="Yu Gothic" w:hAnsi="Yu Gothic"/>
          <w:b/>
          <w:bCs/>
        </w:rPr>
        <w:t xml:space="preserve">T-05　少数株主・休眠株主の整理（少数株主対策）</w:t>
      </w:r>
    </w:p>
    <w:p>
      <w:pPr>
        <w:spacing w:after="60"/>
      </w:pPr>
      <w:r>
        <w:rPr>
          <w:rFonts w:ascii="Yu Gothic" w:cs="Yu Gothic" w:eastAsia="Yu Gothic" w:hAnsi="Yu Gothic"/>
          <w:b w:val="false"/>
          <w:bCs w:val="false"/>
          <w:sz w:val="18"/>
          <w:szCs w:val="18"/>
        </w:rPr>
        <w:t xml:space="preserve">現状：エンジェル等の少数株主が分散保有。</w:t>
      </w:r>
    </w:p>
    <w:p>
      <w:pPr>
        <w:spacing w:after="60"/>
      </w:pPr>
      <w:r>
        <w:rPr>
          <w:rFonts w:ascii="Yu Gothic" w:cs="Yu Gothic" w:eastAsia="Yu Gothic" w:hAnsi="Yu Gothic"/>
          <w:b w:val="false"/>
          <w:bCs w:val="false"/>
          <w:sz w:val="18"/>
          <w:szCs w:val="18"/>
        </w:rPr>
        <w:t xml:space="preserve">方針・提案：上場前に株主名簿を精査し、所在不明・少数株主との連絡体制を整備。投資契約のドラッグ・アロング/同時売却条項を確認し、必要に応じ買集約や種類株転換で簡素化。</w:t>
      </w:r>
    </w:p>
    <w:p>
      <w:pPr>
        <w:spacing w:after="60"/>
      </w:pPr>
      <w:r>
        <w:rPr>
          <w:rFonts w:ascii="Yu Gothic" w:cs="Yu Gothic" w:eastAsia="Yu Gothic" w:hAnsi="Yu Gothic"/>
          <w:b w:val="false"/>
          <w:bCs w:val="false"/>
          <w:sz w:val="18"/>
          <w:szCs w:val="18"/>
        </w:rPr>
        <w:t xml:space="preserve">会計・税務の留意：株式買取時の取得価額・みなし配当課税の有無を確認。譲渡所得課税の整理。</w:t>
      </w:r>
    </w:p>
    <w:p>
      <w:pPr>
        <w:spacing w:after="60"/>
      </w:pPr>
      <w:r>
        <w:rPr>
          <w:rFonts w:ascii="Yu Gothic" w:cs="Yu Gothic" w:eastAsia="Yu Gothic" w:hAnsi="Yu Gothic"/>
          <w:b w:val="false"/>
          <w:bCs w:val="false"/>
          <w:color w:val="8A8170"/>
          <w:sz w:val="16"/>
          <w:szCs w:val="16"/>
        </w:rPr>
        <w:t xml:space="preserve">根拠：会社法（株式併合・買取請求）、上場審査における株主管理体制。</w:t>
      </w:r>
    </w:p>
    <w:p>
      <w:pPr>
        <w:pStyle w:val="Heading3"/>
        <w:spacing w:after="60" w:before="200"/>
      </w:pPr>
      <w:r>
        <w:rPr>
          <w:rFonts w:ascii="Yu Gothic" w:cs="Yu Gothic" w:eastAsia="Yu Gothic" w:hAnsi="Yu Gothic"/>
          <w:b/>
          <w:bCs/>
        </w:rPr>
        <w:t xml:space="preserve">T-06　シリーズBバリュエーションと資本コストの整合（資本コスト）</w:t>
      </w:r>
    </w:p>
    <w:p>
      <w:pPr>
        <w:spacing w:after="60"/>
      </w:pPr>
      <w:r>
        <w:rPr>
          <w:rFonts w:ascii="Yu Gothic" w:cs="Yu Gothic" w:eastAsia="Yu Gothic" w:hAnsi="Yu Gothic"/>
          <w:b w:val="false"/>
          <w:bCs w:val="false"/>
          <w:sz w:val="18"/>
          <w:szCs w:val="18"/>
        </w:rPr>
        <w:t xml:space="preserve">現状：ARR成長重視で資本効率を意識した調達方針。</w:t>
      </w:r>
    </w:p>
    <w:p>
      <w:pPr>
        <w:spacing w:after="60"/>
      </w:pPr>
      <w:r>
        <w:rPr>
          <w:rFonts w:ascii="Yu Gothic" w:cs="Yu Gothic" w:eastAsia="Yu Gothic" w:hAnsi="Yu Gothic"/>
          <w:b w:val="false"/>
          <w:bCs w:val="false"/>
          <w:sz w:val="18"/>
          <w:szCs w:val="18"/>
        </w:rPr>
        <w:t xml:space="preserve">方針・提案：ARRマルチプル・Rule of 40・LTV/CAC等のSaaS指標に基づきpre-money合理性を説明可能にする。エクイティ調達の希薄化コストとデット/ベンチャーデットの比較も実施し最適資本構成を検討。</w:t>
      </w:r>
    </w:p>
    <w:p>
      <w:pPr>
        <w:spacing w:after="60"/>
      </w:pPr>
      <w:r>
        <w:rPr>
          <w:rFonts w:ascii="Yu Gothic" w:cs="Yu Gothic" w:eastAsia="Yu Gothic" w:hAnsi="Yu Gothic"/>
          <w:b w:val="false"/>
          <w:bCs w:val="false"/>
          <w:sz w:val="18"/>
          <w:szCs w:val="18"/>
        </w:rPr>
        <w:t xml:space="preserve">会計・税務の留意：ベンチャーデット導入時は支払利息の損金性・財務制限条項の影響を評価。</w:t>
      </w:r>
    </w:p>
    <w:p>
      <w:pPr>
        <w:spacing w:after="60"/>
      </w:pPr>
      <w:r>
        <w:rPr>
          <w:rFonts w:ascii="Yu Gothic" w:cs="Yu Gothic" w:eastAsia="Yu Gothic" w:hAnsi="Yu Gothic"/>
          <w:b w:val="false"/>
          <w:bCs w:val="false"/>
          <w:color w:val="8A8170"/>
          <w:sz w:val="16"/>
          <w:szCs w:val="16"/>
        </w:rPr>
        <w:t xml:space="preserve">根拠：資本コスト（WACC）の考え方、SaaSバリュエーション実務、KPI（ARR/MRR/チャーン）。</w:t>
      </w:r>
    </w:p>
    <w:p>
      <w:pPr>
        <w:pStyle w:val="Heading3"/>
        <w:spacing w:after="60" w:before="200"/>
      </w:pPr>
      <w:r>
        <w:rPr>
          <w:rFonts w:ascii="Yu Gothic" w:cs="Yu Gothic" w:eastAsia="Yu Gothic" w:hAnsi="Yu Gothic"/>
          <w:b/>
          <w:bCs/>
        </w:rPr>
        <w:t xml:space="preserve">T-07　収益認識方針と企業価値前提の整合（会計・収益認識）</w:t>
      </w:r>
    </w:p>
    <w:p>
      <w:pPr>
        <w:spacing w:after="60"/>
      </w:pPr>
      <w:r>
        <w:rPr>
          <w:rFonts w:ascii="Yu Gothic" w:cs="Yu Gothic" w:eastAsia="Yu Gothic" w:hAnsi="Yu Gothic"/>
          <w:b w:val="false"/>
          <w:bCs w:val="false"/>
          <w:sz w:val="18"/>
          <w:szCs w:val="18"/>
        </w:rPr>
        <w:t xml:space="preserve">現状：SaaS月額・ライセンス・導入支援の複合契約が存在しうる。</w:t>
      </w:r>
    </w:p>
    <w:p>
      <w:pPr>
        <w:spacing w:after="60"/>
      </w:pPr>
      <w:r>
        <w:rPr>
          <w:rFonts w:ascii="Yu Gothic" w:cs="Yu Gothic" w:eastAsia="Yu Gothic" w:hAnsi="Yu Gothic"/>
          <w:b w:val="false"/>
          <w:bCs w:val="false"/>
          <w:sz w:val="18"/>
          <w:szCs w:val="18"/>
        </w:rPr>
        <w:t xml:space="preserve">方針・提案：使用権（一時点）か恒続アクセス権（期間）かの判別、複合契約の独立販売価格配分を文書化し、ARR/MRR算定根拠と財務数値を整合させる。バリュエーション前提のKPIと会計数値の差異を説明可能に。</w:t>
      </w:r>
    </w:p>
    <w:p>
      <w:pPr>
        <w:spacing w:after="60"/>
      </w:pPr>
      <w:r>
        <w:rPr>
          <w:rFonts w:ascii="Yu Gothic" w:cs="Yu Gothic" w:eastAsia="Yu Gothic" w:hAnsi="Yu Gothic"/>
          <w:b w:val="false"/>
          <w:bCs w:val="false"/>
          <w:sz w:val="18"/>
          <w:szCs w:val="18"/>
        </w:rPr>
        <w:t xml:space="preserve">会計・税務の留意：IFRS15・実務対応報告第17号に準拠。変動対価は実現可能性限度法で見積り。開発費の資本化/費用化判定も価値評価に影響。</w:t>
      </w:r>
    </w:p>
    <w:p>
      <w:pPr>
        <w:spacing w:after="60"/>
      </w:pPr>
      <w:r>
        <w:rPr>
          <w:rFonts w:ascii="Yu Gothic" w:cs="Yu Gothic" w:eastAsia="Yu Gothic" w:hAnsi="Yu Gothic"/>
          <w:b w:val="false"/>
          <w:bCs w:val="false"/>
          <w:color w:val="8A8170"/>
          <w:sz w:val="16"/>
          <w:szCs w:val="16"/>
        </w:rPr>
        <w:t xml:space="preserve">根拠：IFRS15号、ソフトウェア取引実務対応報告第17号、ソフトウェア会計。</w:t>
      </w:r>
    </w:p>
    <w:p>
      <w:pPr>
        <w:pStyle w:val="Heading3"/>
        <w:spacing w:after="60" w:before="200"/>
      </w:pPr>
      <w:r>
        <w:rPr>
          <w:rFonts w:ascii="Yu Gothic" w:cs="Yu Gothic" w:eastAsia="Yu Gothic" w:hAnsi="Yu Gothic"/>
          <w:b/>
          <w:bCs/>
        </w:rPr>
        <w:t xml:space="preserve">T-08　資本政策に係る内部統制と権限管理（ガバナンス/統制）</w:t>
      </w:r>
    </w:p>
    <w:p>
      <w:pPr>
        <w:spacing w:after="60"/>
      </w:pPr>
      <w:r>
        <w:rPr>
          <w:rFonts w:ascii="Yu Gothic" w:cs="Yu Gothic" w:eastAsia="Yu Gothic" w:hAnsi="Yu Gothic"/>
          <w:b w:val="false"/>
          <w:bCs w:val="false"/>
          <w:sz w:val="18"/>
          <w:szCs w:val="18"/>
        </w:rPr>
        <w:t xml:space="preserve">現状：上場準備段階。株式・新株予約権の管理統制が未成熟な可能性。</w:t>
      </w:r>
    </w:p>
    <w:p>
      <w:pPr>
        <w:spacing w:after="60"/>
      </w:pPr>
      <w:r>
        <w:rPr>
          <w:rFonts w:ascii="Yu Gothic" w:cs="Yu Gothic" w:eastAsia="Yu Gothic" w:hAnsi="Yu Gothic"/>
          <w:b w:val="false"/>
          <w:bCs w:val="false"/>
          <w:sz w:val="18"/>
          <w:szCs w:val="18"/>
        </w:rPr>
        <w:t xml:space="preserve">方針・提案：株主名簿・新株予約権原簿・登記の三者突合プロセスを確立し、発行・付与・転換の承認フロー（取締役会/株主総会決議）と職務分掌を整備。資本取引のアクセス権限・変更管理を全般統制に組み込む。</w:t>
      </w:r>
    </w:p>
    <w:p>
      <w:pPr>
        <w:spacing w:after="60"/>
      </w:pPr>
      <w:r>
        <w:rPr>
          <w:rFonts w:ascii="Yu Gothic" w:cs="Yu Gothic" w:eastAsia="Yu Gothic" w:hAnsi="Yu Gothic"/>
          <w:b w:val="false"/>
          <w:bCs w:val="false"/>
          <w:sz w:val="18"/>
          <w:szCs w:val="18"/>
        </w:rPr>
        <w:t xml:space="preserve">会計・税務の留意：資本取引の証憑・決議録の保存、開示統制（J-SOX）対応。新株予約権費用計上の網羅性確認。</w:t>
      </w:r>
    </w:p>
    <w:p>
      <w:pPr>
        <w:spacing w:after="60"/>
      </w:pPr>
      <w:r>
        <w:rPr>
          <w:rFonts w:ascii="Yu Gothic" w:cs="Yu Gothic" w:eastAsia="Yu Gothic" w:hAnsi="Yu Gothic"/>
          <w:b w:val="false"/>
          <w:bCs w:val="false"/>
          <w:color w:val="8A8170"/>
          <w:sz w:val="16"/>
          <w:szCs w:val="16"/>
        </w:rPr>
        <w:t xml:space="preserve">根拠：内部統制報告制度（J-SOX）、会社法上の決議要件、上場審査の管理体制要件。</w:t>
      </w:r>
    </w:p>
    <w:p>
      <w:pPr>
        <w:pStyle w:val="Heading1"/>
        <w:spacing w:after="80" w:before="280"/>
      </w:pPr>
      <w:r>
        <w:rPr>
          <w:rFonts w:ascii="Yu Gothic" w:cs="Yu Gothic" w:eastAsia="Yu Gothic" w:hAnsi="Yu Gothic"/>
          <w:b/>
          <w:bCs/>
        </w:rPr>
        <w:t xml:space="preserve">5. 総合所見</w:t>
      </w:r>
    </w:p>
    <w:p>
      <w:pPr>
        <w:spacing w:after="60"/>
      </w:pPr>
      <w:r>
        <w:rPr>
          <w:rFonts w:ascii="Yu Gothic" w:cs="Yu Gothic" w:eastAsia="Yu Gothic" w:hAnsi="Yu Gothic"/>
          <w:b w:val="false"/>
          <w:bCs w:val="false"/>
          <w:sz w:val="20"/>
          <w:szCs w:val="20"/>
        </w:rPr>
        <w:t xml:space="preserve">本パッケージは、シリーズB（pre40億・post50億想定）を最終プライベートラウンドと位置づけ、IPO時の種類株一括普通株転換・税制適格SO要件充足・完全希薄化管理を三本柱とするドラフトである。創業者持株比率と安定株主の確保、少数株主整理、SaaS-KPIと収益認識の整合、資本取引に係る内部統制（J-SOX）整備が上場審査上の重点となる。数値は例示であり、株主名簿・新株予約権原簿・登記・投資契約の実データとの突合および会計士・弁護士による精査を前提とする。</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サンプルSaaS株式会社 資本政策パッケージ</dc:title>
  <dc:creator>BENTO — 会計士 × AI</dc:creator>
  <cp:lastModifiedBy>Un-named</cp:lastModifiedBy>
  <cp:revision>1</cp:revision>
  <dcterms:created xsi:type="dcterms:W3CDTF">2026-07-03T07:33:35.843Z</dcterms:created>
  <dcterms:modified xsi:type="dcterms:W3CDTF">2026-07-03T07:33:35.843Z</dcterms:modified>
</cp:coreProperties>
</file>

<file path=docProps/custom.xml><?xml version="1.0" encoding="utf-8"?>
<Properties xmlns="http://schemas.openxmlformats.org/officeDocument/2006/custom-properties" xmlns:vt="http://schemas.openxmlformats.org/officeDocument/2006/docPropsVTypes"/>
</file>